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D7E78" w14:textId="77777777" w:rsidR="007833A3" w:rsidRPr="00D87199" w:rsidRDefault="007833A3" w:rsidP="00D87199">
      <w:pPr>
        <w:rPr>
          <w:b/>
        </w:rPr>
      </w:pPr>
    </w:p>
    <w:p w14:paraId="24B99331" w14:textId="2EFDFD5E" w:rsidR="004A10E9" w:rsidRPr="00D87199" w:rsidRDefault="00AB5AE0" w:rsidP="00C41355">
      <w:pPr>
        <w:tabs>
          <w:tab w:val="left" w:pos="7668"/>
        </w:tabs>
        <w:rPr>
          <w:b/>
          <w:sz w:val="32"/>
          <w:szCs w:val="32"/>
        </w:rPr>
      </w:pPr>
      <w:r w:rsidRPr="00D87199">
        <w:rPr>
          <w:b/>
          <w:sz w:val="32"/>
          <w:szCs w:val="32"/>
        </w:rPr>
        <w:t>B</w:t>
      </w:r>
      <w:r w:rsidR="00915D12">
        <w:rPr>
          <w:b/>
          <w:sz w:val="32"/>
          <w:szCs w:val="32"/>
        </w:rPr>
        <w:t xml:space="preserve"> -</w:t>
      </w:r>
      <w:r w:rsidR="004A10E9" w:rsidRPr="00D87199">
        <w:rPr>
          <w:b/>
          <w:sz w:val="32"/>
          <w:szCs w:val="32"/>
        </w:rPr>
        <w:t xml:space="preserve"> </w:t>
      </w:r>
      <w:r w:rsidRPr="00D87199">
        <w:rPr>
          <w:b/>
          <w:sz w:val="32"/>
          <w:szCs w:val="32"/>
        </w:rPr>
        <w:t>SOUHRNNÁ</w:t>
      </w:r>
      <w:r w:rsidR="004A10E9" w:rsidRPr="00D87199">
        <w:rPr>
          <w:b/>
          <w:caps/>
          <w:sz w:val="32"/>
          <w:szCs w:val="32"/>
        </w:rPr>
        <w:t xml:space="preserve"> </w:t>
      </w:r>
      <w:r w:rsidR="00F21DF0" w:rsidRPr="00D87199">
        <w:rPr>
          <w:b/>
          <w:caps/>
          <w:sz w:val="32"/>
          <w:szCs w:val="32"/>
        </w:rPr>
        <w:t xml:space="preserve">technická </w:t>
      </w:r>
      <w:r w:rsidR="004A10E9" w:rsidRPr="00D87199">
        <w:rPr>
          <w:b/>
          <w:caps/>
          <w:sz w:val="32"/>
          <w:szCs w:val="32"/>
        </w:rPr>
        <w:t>zpráva</w:t>
      </w:r>
      <w:r w:rsidR="00C41355">
        <w:rPr>
          <w:b/>
          <w:caps/>
          <w:sz w:val="32"/>
          <w:szCs w:val="32"/>
        </w:rPr>
        <w:tab/>
      </w:r>
    </w:p>
    <w:p w14:paraId="7E509138" w14:textId="77777777" w:rsidR="00BD65B7" w:rsidRDefault="00BD65B7" w:rsidP="00AB5AE0">
      <w:pPr>
        <w:spacing w:before="120" w:after="120" w:line="360" w:lineRule="auto"/>
        <w:ind w:left="284" w:right="567"/>
        <w:rPr>
          <w:b/>
          <w:sz w:val="24"/>
          <w:szCs w:val="24"/>
          <w:u w:val="single"/>
        </w:rPr>
      </w:pPr>
    </w:p>
    <w:p w14:paraId="73E00A0D" w14:textId="77777777" w:rsidR="00AB5AE0" w:rsidRPr="00AB5AE0" w:rsidRDefault="00AB5AE0" w:rsidP="00AB5AE0">
      <w:pPr>
        <w:spacing w:before="120" w:after="120" w:line="360" w:lineRule="auto"/>
        <w:ind w:left="284" w:right="567"/>
        <w:rPr>
          <w:b/>
          <w:sz w:val="24"/>
          <w:szCs w:val="24"/>
          <w:u w:val="single"/>
        </w:rPr>
      </w:pPr>
      <w:r w:rsidRPr="00AB5AE0">
        <w:rPr>
          <w:b/>
          <w:sz w:val="24"/>
          <w:szCs w:val="24"/>
          <w:u w:val="single"/>
        </w:rPr>
        <w:t>Obsah:</w:t>
      </w:r>
    </w:p>
    <w:p w14:paraId="01936D4D" w14:textId="1171413D" w:rsidR="00902885" w:rsidRDefault="00AB5AE0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B5AE0">
        <w:rPr>
          <w:b w:val="0"/>
          <w:bCs w:val="0"/>
          <w:color w:val="FF0000"/>
          <w:sz w:val="22"/>
          <w:szCs w:val="22"/>
        </w:rPr>
        <w:fldChar w:fldCharType="begin"/>
      </w:r>
      <w:r w:rsidRPr="00AB5AE0">
        <w:rPr>
          <w:b w:val="0"/>
          <w:bCs w:val="0"/>
          <w:color w:val="FF0000"/>
          <w:sz w:val="22"/>
          <w:szCs w:val="22"/>
        </w:rPr>
        <w:instrText xml:space="preserve"> TOC \o "1-3" </w:instrText>
      </w:r>
      <w:r w:rsidRPr="00AB5AE0">
        <w:rPr>
          <w:b w:val="0"/>
          <w:bCs w:val="0"/>
          <w:color w:val="FF0000"/>
          <w:sz w:val="22"/>
          <w:szCs w:val="22"/>
        </w:rPr>
        <w:fldChar w:fldCharType="separate"/>
      </w:r>
      <w:r w:rsidR="00902885">
        <w:rPr>
          <w:noProof/>
        </w:rPr>
        <w:t>B.1  Popis území stavby</w:t>
      </w:r>
      <w:r w:rsidR="00902885">
        <w:rPr>
          <w:noProof/>
        </w:rPr>
        <w:tab/>
      </w:r>
      <w:r w:rsidR="00902885">
        <w:rPr>
          <w:noProof/>
        </w:rPr>
        <w:fldChar w:fldCharType="begin"/>
      </w:r>
      <w:r w:rsidR="00902885">
        <w:rPr>
          <w:noProof/>
        </w:rPr>
        <w:instrText xml:space="preserve"> PAGEREF _Toc72163649 \h </w:instrText>
      </w:r>
      <w:r w:rsidR="00902885">
        <w:rPr>
          <w:noProof/>
        </w:rPr>
      </w:r>
      <w:r w:rsidR="00902885">
        <w:rPr>
          <w:noProof/>
        </w:rPr>
        <w:fldChar w:fldCharType="separate"/>
      </w:r>
      <w:r w:rsidR="00902885">
        <w:rPr>
          <w:noProof/>
        </w:rPr>
        <w:t>2</w:t>
      </w:r>
      <w:r w:rsidR="00902885">
        <w:rPr>
          <w:noProof/>
        </w:rPr>
        <w:fldChar w:fldCharType="end"/>
      </w:r>
    </w:p>
    <w:p w14:paraId="0FD4C658" w14:textId="1B22FC83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a) charakteristika stavebního pozemku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0C9C741" w14:textId="287A7C5C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b) výčet a závěry provedených průzkumů a rozborů (geologický průzkum, hydrogeologický průzkum, stavebně historický průzkum apod.)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7EDF12E" w14:textId="0BC7F0F3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c) stávající ochranná a bezpečnostní pásma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E4A2470" w14:textId="403158B6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d) poloha vzhledem k záplavovému území, poddolovanému území apod.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64B568" w14:textId="6220A3AB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e) vliv stavby na okolní stavby a pozemky, ochrana okolí, vliv stavby na odtokové poměry v 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B900CA7" w14:textId="26168F2C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f) požadavky na asanace, demolice, kácení dřevin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0425383" w14:textId="5D68E3F9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g) požadavky na maximální zábory zemědělského půdního fondu nebo pozemků určených k plnění funkce lesa (dočasné / trvalé)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B8A9158" w14:textId="2906C0B2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h) územně technické podmínky (možnost napojení na stávající dopravní a technickou infrastrukturu)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DF6C51E" w14:textId="4FAFB7D0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i) věcné a časové vazby stavby, podmiňující, vyvolané, související investice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EF4FC2C" w14:textId="4AFAED67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B.2  Celkový 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77AE999" w14:textId="1989E6ED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B.2.1  Účel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1603C3F" w14:textId="4B5F0A6A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a) funkční náplň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3F3F010" w14:textId="3BB22F56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b) základní kapacity funkčních jednotek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04D71FA" w14:textId="3BEFC932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c) maximální produkovaná množství a druhy odpadů a emisí a způsob nakládání s nimi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61A4755" w14:textId="794250E7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B.2.2  Celkové urbanistické a architektonické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92F549B" w14:textId="5BF186D9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a) urbanismus - územní regulace, kompozice prostorového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7CD9827" w14:textId="4B3B3D14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b) architektonické řešení - kompozice tvarového řešení, materiálové a barevné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552BB79" w14:textId="0CA3CBCF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B.2.3  Celkové provozní řešení, technologie výroby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1EF10B7" w14:textId="132E3358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B.2.4  Bezbariérové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B60E46B" w14:textId="36176B0B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B.2.5  Bezpečnost při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F27AF98" w14:textId="626E1E01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B.2.6  Základní charakteristika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0883915" w14:textId="4D5FEC34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a) stavební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5028C75" w14:textId="03CCA03B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b) konstrukční a materiálové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DD33653" w14:textId="11F574DD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c) mechanická odolnost a stabilita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AD7F57B" w14:textId="1FE29F2D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B.2.7  Základní charakteristika technických a technologických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9F135AB" w14:textId="5A49A270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a) technické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5A4AD9F" w14:textId="14C7414A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B.2.8  Požárně bezpečnostní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9A59810" w14:textId="7E09ADFE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B.2.9  Zásady hospodaření s energiemi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0C7557C" w14:textId="3F6CBFFD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a) kritéria tepelně technického hodnocení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A274E51" w14:textId="38D57635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b) energetická náročnost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0F42BDB" w14:textId="2060F2B6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B.2.10  Hygienické požadavky na stavby, požadavky na pracovní a komunální prostředí - zásady řešení parametrů stavby (větrání, vytápění, osvětlení, zásobování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30F2016" w14:textId="77777777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noProof/>
        </w:rPr>
      </w:pPr>
    </w:p>
    <w:p w14:paraId="38727DD5" w14:textId="77777777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noProof/>
        </w:rPr>
      </w:pPr>
    </w:p>
    <w:p w14:paraId="52432D66" w14:textId="264ECF46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lastRenderedPageBreak/>
        <w:t>B.2.11  Ochrana stavby před negativními účinky vnějšího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6318EC6" w14:textId="0D31187F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a) ochrana před pronikáním radonu z podloží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63F3145" w14:textId="0EFC7CBF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b) ochrana před bludnými proudy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1522146" w14:textId="26C21F5B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c) ochrana před technickou seizmicitou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6D341E9" w14:textId="3904C429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d) ochrana před hlukem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1946C6C" w14:textId="4224F8F4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e) protipovodňová opatření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61050D6" w14:textId="7B1AA5BD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f) ostatní účinky (vliv poddolování, výskyt metanu, apod.)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AFA0744" w14:textId="3C12BDB3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B.3  Připojení na technickou infrastrukturu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4F5C0A0" w14:textId="7ACF2654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a) napojovací místa technické infrastruktury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2EB9CF5" w14:textId="0A2A4CE7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b) připojovací rozměry, výkonové kapacity a délky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3F12CE2" w14:textId="2C70618F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B.4  Dopravní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3653B7B0" w14:textId="02760B2F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B.5  Řešení vegetace a souvisejících terénních úprav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44BAAFC2" w14:textId="11ED141E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a) terénní úpravy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48F570A1" w14:textId="1811F166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b) použité vegetační prvky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AEEB173" w14:textId="65D69396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c) biotechnická opatření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21A3DE8" w14:textId="0AC70558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01FA5">
        <w:rPr>
          <w:noProof/>
        </w:rPr>
        <w:t xml:space="preserve">B.6  </w:t>
      </w:r>
      <w:r>
        <w:rPr>
          <w:noProof/>
        </w:rPr>
        <w:t>Popis vlivů stavby na životní prostředí a jeho ochrana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43C59871" w14:textId="5CDC8F60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a) vliv stavby na životní prostředí – ovzduší, hluk, voda, odpady a půda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E75F282" w14:textId="3601486F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b) vliv stavby na přírodu a krajinu (ochrana dřevin, ochrana památných stromů, ochrana rostlin a živočichů apod.), zachování ekologických funkcí a vazeb v krajině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5DE52C55" w14:textId="06EA9214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c) vliv stavby na soustavu chráněných území Natura 2000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_Toc72163699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3BE2A12E" w14:textId="0857B62D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d) návrh zohlednění podmínek ze závěrů zjišťovacího řízení nebo stanoviska EIA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04E358F" w14:textId="5758DD91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e) navrhovaná ochranná a bezpečnostní pásma, rozsah omezení a podmínky ochrany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53696C3D" w14:textId="17362556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01FA5">
        <w:rPr>
          <w:noProof/>
        </w:rPr>
        <w:t xml:space="preserve">B.7  </w:t>
      </w:r>
      <w:r>
        <w:rPr>
          <w:noProof/>
        </w:rPr>
        <w:t>Ochrana obyvatelstva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E6A5055" w14:textId="3E84A65D" w:rsidR="00902885" w:rsidRDefault="00902885" w:rsidP="00902885">
      <w:pPr>
        <w:pStyle w:val="Obsah1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01FA5">
        <w:rPr>
          <w:noProof/>
        </w:rPr>
        <w:t xml:space="preserve">B.8  </w:t>
      </w:r>
      <w:r>
        <w:rPr>
          <w:noProof/>
        </w:rPr>
        <w:t>Zásady organizace výstavby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F988B85" w14:textId="084E4E86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a) potřeby a spotřeby rozhodujících médií a hmot, jejich zajištění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3A2D4176" w14:textId="419C62D1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b) odvodnění staveniště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75352507" w14:textId="0D02C563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c) napojení staveniště na stávající dopravní a technickou infrastrukturu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2DA8398" w14:textId="6B964397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d) vliv provádění stavby na okolní stavby a pozemky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3F7100B" w14:textId="0F5BB1AF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e) ochrana okolí staveniště a požadavky na související asanace, demolice, kácení dřevin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82F6E2F" w14:textId="50019AA2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f) maximální zábory pro staveniště (dočasné / trvalé)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EA2C209" w14:textId="40376488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g) maximální produkovaná množství a druhy odpadů a emisí při výstavbě, jejich likvidace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74FABF9D" w14:textId="568DA7BB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i) bilance zemních prací, požadavky na přísun nebo deponie zemin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5295DD0D" w14:textId="4FDC3041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j) ochrana životního prostředí při výstavbě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5A4E0EAB" w14:textId="07741570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k) zásady bezpečnosti a ochrany zdraví při práci na staveništi, posouzení potřeby koordinátora bezpečnosti a ochrany zdraví při práci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7F9592E1" w14:textId="7877543A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l) úpravy pro bezbariérové užívání výstavbou dotčených staveb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2830BCFF" w14:textId="1E8086AB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m) zásady pro dopravně inženýrské opatření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70CF54D5" w14:textId="4B41FD1C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n) stanovení speciálních podmínek pro provádění stavby (provádění stavby za provozu, opatření proti účinkům vnějšího prostředí při výstavbě apod.)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5CF6532F" w14:textId="6FC23A89" w:rsidR="00902885" w:rsidRDefault="00902885" w:rsidP="00902885">
      <w:pPr>
        <w:pStyle w:val="Obsah2"/>
        <w:tabs>
          <w:tab w:val="right" w:leader="dot" w:pos="9061"/>
        </w:tabs>
        <w:spacing w:line="280" w:lineRule="exact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o) postup výstavby, rozhodující dílčí termíny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_Toc72163717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6528824A" w14:textId="70E209D0" w:rsidR="00AB5AE0" w:rsidRPr="00AB5AE0" w:rsidRDefault="00AB5AE0" w:rsidP="00902885">
      <w:pPr>
        <w:tabs>
          <w:tab w:val="left" w:pos="567"/>
        </w:tabs>
        <w:spacing w:line="280" w:lineRule="exact"/>
        <w:rPr>
          <w:b/>
          <w:sz w:val="24"/>
          <w:szCs w:val="24"/>
        </w:rPr>
      </w:pPr>
      <w:r w:rsidRPr="00AB5AE0">
        <w:rPr>
          <w:caps/>
          <w:color w:val="FF0000"/>
          <w:sz w:val="22"/>
          <w:szCs w:val="22"/>
        </w:rPr>
        <w:fldChar w:fldCharType="end"/>
      </w:r>
    </w:p>
    <w:p w14:paraId="5E1B33DD" w14:textId="77777777" w:rsidR="00AB5AE0" w:rsidRPr="00AB5AE0" w:rsidRDefault="00AB5AE0" w:rsidP="00AB5AE0">
      <w:pPr>
        <w:tabs>
          <w:tab w:val="left" w:pos="567"/>
        </w:tabs>
        <w:spacing w:line="360" w:lineRule="auto"/>
        <w:rPr>
          <w:b/>
          <w:sz w:val="24"/>
          <w:szCs w:val="24"/>
        </w:rPr>
      </w:pPr>
    </w:p>
    <w:p w14:paraId="54A17D1A" w14:textId="77777777" w:rsidR="00AB5AE0" w:rsidRPr="00AB5AE0" w:rsidRDefault="00AB5AE0" w:rsidP="00AB5AE0">
      <w:pPr>
        <w:tabs>
          <w:tab w:val="left" w:pos="567"/>
        </w:tabs>
        <w:spacing w:line="360" w:lineRule="auto"/>
        <w:rPr>
          <w:b/>
          <w:sz w:val="24"/>
          <w:szCs w:val="24"/>
        </w:rPr>
      </w:pPr>
    </w:p>
    <w:p w14:paraId="524923CA" w14:textId="77777777" w:rsidR="00AB5AE0" w:rsidRPr="00AB5AE0" w:rsidRDefault="00AB5AE0" w:rsidP="00AB5AE0">
      <w:pPr>
        <w:tabs>
          <w:tab w:val="left" w:pos="567"/>
        </w:tabs>
        <w:spacing w:line="360" w:lineRule="auto"/>
        <w:rPr>
          <w:b/>
          <w:sz w:val="24"/>
          <w:szCs w:val="24"/>
        </w:rPr>
      </w:pPr>
    </w:p>
    <w:p w14:paraId="5AEED1F3" w14:textId="77777777" w:rsidR="00AB5AE0" w:rsidRPr="00AB5AE0" w:rsidRDefault="00AB5AE0" w:rsidP="00AB5AE0">
      <w:pPr>
        <w:tabs>
          <w:tab w:val="left" w:pos="567"/>
        </w:tabs>
        <w:spacing w:line="360" w:lineRule="auto"/>
        <w:rPr>
          <w:b/>
          <w:sz w:val="24"/>
          <w:szCs w:val="24"/>
        </w:rPr>
      </w:pPr>
    </w:p>
    <w:p w14:paraId="16F941C1" w14:textId="77777777" w:rsidR="00AB5AE0" w:rsidRPr="008539F6" w:rsidRDefault="00AB5AE0" w:rsidP="008539F6">
      <w:pPr>
        <w:pStyle w:val="Nadpis1"/>
        <w:spacing w:line="260" w:lineRule="exact"/>
        <w:rPr>
          <w:szCs w:val="24"/>
        </w:rPr>
      </w:pPr>
      <w:bookmarkStart w:id="0" w:name="_Toc367870199"/>
      <w:bookmarkStart w:id="1" w:name="_Toc72163649"/>
      <w:proofErr w:type="gramStart"/>
      <w:r w:rsidRPr="008539F6">
        <w:rPr>
          <w:szCs w:val="24"/>
        </w:rPr>
        <w:lastRenderedPageBreak/>
        <w:t>B.1  Popis</w:t>
      </w:r>
      <w:proofErr w:type="gramEnd"/>
      <w:r w:rsidRPr="008539F6">
        <w:rPr>
          <w:szCs w:val="24"/>
        </w:rPr>
        <w:t xml:space="preserve"> území stavby</w:t>
      </w:r>
      <w:bookmarkEnd w:id="0"/>
      <w:bookmarkEnd w:id="1"/>
    </w:p>
    <w:p w14:paraId="735C40DB" w14:textId="77777777" w:rsidR="00AB5AE0" w:rsidRPr="008539F6" w:rsidRDefault="00AB5AE0" w:rsidP="008539F6">
      <w:pPr>
        <w:pStyle w:val="Nadpis2"/>
        <w:spacing w:line="260" w:lineRule="exact"/>
      </w:pPr>
      <w:bookmarkStart w:id="2" w:name="_Toc367870200"/>
      <w:bookmarkStart w:id="3" w:name="_Toc72163650"/>
      <w:r w:rsidRPr="008539F6">
        <w:t>a) charakteristika stavebního pozemku</w:t>
      </w:r>
      <w:bookmarkEnd w:id="2"/>
      <w:bookmarkEnd w:id="3"/>
    </w:p>
    <w:p w14:paraId="24CEC64F" w14:textId="77777777" w:rsidR="00BF0AA7" w:rsidRPr="00BF0AA7" w:rsidRDefault="00BF0AA7" w:rsidP="00BF0AA7">
      <w:pPr>
        <w:tabs>
          <w:tab w:val="left" w:pos="567"/>
          <w:tab w:val="left" w:pos="3402"/>
        </w:tabs>
        <w:spacing w:line="260" w:lineRule="exact"/>
        <w:ind w:firstLine="567"/>
        <w:jc w:val="both"/>
        <w:rPr>
          <w:sz w:val="24"/>
          <w:szCs w:val="24"/>
        </w:rPr>
      </w:pPr>
      <w:r w:rsidRPr="00BF0AA7">
        <w:rPr>
          <w:sz w:val="24"/>
          <w:szCs w:val="24"/>
        </w:rPr>
        <w:t xml:space="preserve">Předmětem projektu pro provádění stavby je rekonstrukce stávající plynové kotelny v objektu MŠ Blatenská v Chomutově. V současné době je objekt vytápěn třemi stacionárními teplovodními plynovými kotli (2 kotle jsou trvale odstaveny z provozu). </w:t>
      </w:r>
    </w:p>
    <w:p w14:paraId="2B9A90FA" w14:textId="77777777" w:rsidR="00BF0AA7" w:rsidRPr="00BF0AA7" w:rsidRDefault="00BF0AA7" w:rsidP="00BF0AA7">
      <w:pPr>
        <w:tabs>
          <w:tab w:val="left" w:pos="567"/>
          <w:tab w:val="left" w:pos="3402"/>
        </w:tabs>
        <w:spacing w:line="260" w:lineRule="exact"/>
        <w:ind w:firstLine="567"/>
        <w:jc w:val="both"/>
        <w:rPr>
          <w:sz w:val="24"/>
          <w:szCs w:val="24"/>
        </w:rPr>
      </w:pPr>
      <w:r w:rsidRPr="00BF0AA7">
        <w:rPr>
          <w:sz w:val="24"/>
          <w:szCs w:val="24"/>
        </w:rPr>
        <w:t xml:space="preserve">Předpokládaná stavba obsahuje rekonstrukci strojního vybavení plynové kotelny 4. MŠ Blatenská Chomutov. Ve stávajícím prostoru plynové kotelny (samostatná místnost v 1.NP) budou instalovány dva nové plynové kondenzační kotle vč. rozdělovače a sběrače, zásobníku teplé vody, expanzního automatu, expanzních membránových nádob a úpravny vody, které budou napojeny na stávající vstupy (SV, plyn, elektro) a výstupy (ÚT, TV a cirkulace). </w:t>
      </w:r>
    </w:p>
    <w:p w14:paraId="37522E47" w14:textId="3C740B04" w:rsidR="00AB5AE0" w:rsidRPr="008539F6" w:rsidRDefault="00BF0AA7" w:rsidP="00BF0AA7">
      <w:pPr>
        <w:tabs>
          <w:tab w:val="left" w:pos="567"/>
          <w:tab w:val="left" w:pos="3402"/>
        </w:tabs>
        <w:spacing w:line="260" w:lineRule="exact"/>
        <w:ind w:firstLine="567"/>
        <w:jc w:val="both"/>
        <w:rPr>
          <w:sz w:val="24"/>
          <w:szCs w:val="24"/>
        </w:rPr>
      </w:pPr>
      <w:r w:rsidRPr="00BF0AA7">
        <w:rPr>
          <w:sz w:val="24"/>
          <w:szCs w:val="24"/>
        </w:rPr>
        <w:t>Stavba bude majetkem Statutární město Chomutov, Zborovská 4602, Chomutov.</w:t>
      </w:r>
      <w:r w:rsidR="00AB5AE0" w:rsidRPr="008539F6">
        <w:rPr>
          <w:sz w:val="24"/>
          <w:szCs w:val="24"/>
        </w:rPr>
        <w:t xml:space="preserve"> </w:t>
      </w:r>
      <w:r w:rsidR="00AB5AE0" w:rsidRPr="008539F6">
        <w:rPr>
          <w:sz w:val="24"/>
          <w:szCs w:val="24"/>
        </w:rPr>
        <w:tab/>
      </w:r>
    </w:p>
    <w:p w14:paraId="66C61DFA" w14:textId="77777777" w:rsidR="00AB5AE0" w:rsidRPr="008539F6" w:rsidRDefault="00AB5AE0" w:rsidP="008539F6">
      <w:pPr>
        <w:pStyle w:val="Nadpis2"/>
        <w:spacing w:line="260" w:lineRule="exact"/>
      </w:pPr>
      <w:bookmarkStart w:id="4" w:name="_Toc367870201"/>
      <w:bookmarkStart w:id="5" w:name="_Toc72163651"/>
      <w:r w:rsidRPr="008539F6">
        <w:t>b) výčet a závěry provedených průzkumů a rozborů (geologický průzkum, hydrogeologický průzkum, stavebně historický průzkum apod.)</w:t>
      </w:r>
      <w:bookmarkEnd w:id="4"/>
      <w:bookmarkEnd w:id="5"/>
    </w:p>
    <w:p w14:paraId="5978E4E6" w14:textId="68E50206" w:rsidR="00AB5AE0" w:rsidRPr="008539F6" w:rsidRDefault="00AB5AE0" w:rsidP="008539F6">
      <w:pPr>
        <w:tabs>
          <w:tab w:val="left" w:pos="567"/>
        </w:tabs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 xml:space="preserve">Před započetím prací na projektové dokumentaci byl proveden zevrubný stavebně technický průzkum zaměřený na zjištění skutečného stavu </w:t>
      </w:r>
      <w:r w:rsidR="00BF0AA7">
        <w:rPr>
          <w:bCs/>
          <w:sz w:val="24"/>
          <w:szCs w:val="24"/>
        </w:rPr>
        <w:t>kotlové technologie v plynové kotelně.</w:t>
      </w:r>
      <w:bookmarkStart w:id="6" w:name="_Toc367870202"/>
      <w:r w:rsidRPr="008539F6">
        <w:rPr>
          <w:bCs/>
          <w:sz w:val="24"/>
          <w:szCs w:val="24"/>
        </w:rPr>
        <w:t xml:space="preserve"> </w:t>
      </w:r>
    </w:p>
    <w:p w14:paraId="0DF226AC" w14:textId="77777777" w:rsidR="00AB5AE0" w:rsidRPr="008539F6" w:rsidRDefault="00AB5AE0" w:rsidP="008539F6">
      <w:pPr>
        <w:pStyle w:val="Nadpis2"/>
        <w:spacing w:line="260" w:lineRule="exact"/>
      </w:pPr>
      <w:bookmarkStart w:id="7" w:name="_Toc72163652"/>
      <w:r w:rsidRPr="008539F6">
        <w:t>c) stávající ochranná a bezpečnostní pásma</w:t>
      </w:r>
      <w:bookmarkEnd w:id="6"/>
      <w:bookmarkEnd w:id="7"/>
    </w:p>
    <w:p w14:paraId="40978251" w14:textId="77777777" w:rsidR="00AB5AE0" w:rsidRPr="008539F6" w:rsidRDefault="00AB5AE0" w:rsidP="008539F6">
      <w:pPr>
        <w:spacing w:before="120"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Řešená stavba a přilehlé pozemky nespadají do záplavového území vodního toku a nejsou zasaženy žádným ochranným pásmem, památkovou zónou apod. </w:t>
      </w:r>
    </w:p>
    <w:p w14:paraId="0F6F3206" w14:textId="77777777" w:rsidR="00AB5AE0" w:rsidRPr="008539F6" w:rsidRDefault="00AB5AE0" w:rsidP="008539F6">
      <w:pPr>
        <w:pStyle w:val="Nadpis2"/>
        <w:spacing w:line="260" w:lineRule="exact"/>
      </w:pPr>
      <w:bookmarkStart w:id="8" w:name="_Toc367870203"/>
      <w:bookmarkStart w:id="9" w:name="_Toc72163653"/>
      <w:r w:rsidRPr="008539F6">
        <w:t>d) poloha vzhledem k záplavovému území, poddolovanému území apod.</w:t>
      </w:r>
      <w:bookmarkEnd w:id="8"/>
      <w:bookmarkEnd w:id="9"/>
    </w:p>
    <w:p w14:paraId="37DEC66E" w14:textId="77777777" w:rsidR="00AB5AE0" w:rsidRPr="008539F6" w:rsidRDefault="00AB5AE0" w:rsidP="008539F6">
      <w:pPr>
        <w:tabs>
          <w:tab w:val="left" w:pos="567"/>
        </w:tabs>
        <w:spacing w:line="260" w:lineRule="exact"/>
        <w:ind w:firstLine="567"/>
        <w:rPr>
          <w:sz w:val="24"/>
          <w:szCs w:val="24"/>
        </w:rPr>
      </w:pPr>
      <w:r w:rsidRPr="008539F6">
        <w:rPr>
          <w:sz w:val="24"/>
          <w:szCs w:val="24"/>
        </w:rPr>
        <w:tab/>
        <w:t xml:space="preserve">Stavba není umístěna na záplavovém a na poddolovaném území. </w:t>
      </w:r>
    </w:p>
    <w:p w14:paraId="786F30EA" w14:textId="77777777" w:rsidR="00AB5AE0" w:rsidRPr="008539F6" w:rsidRDefault="00AB5AE0" w:rsidP="008539F6">
      <w:pPr>
        <w:pStyle w:val="Nadpis2"/>
        <w:spacing w:line="260" w:lineRule="exact"/>
      </w:pPr>
      <w:bookmarkStart w:id="10" w:name="_Toc367870204"/>
      <w:bookmarkStart w:id="11" w:name="_Toc72163654"/>
      <w:r w:rsidRPr="008539F6">
        <w:t>e)</w:t>
      </w:r>
      <w:r w:rsidR="00372F7E" w:rsidRPr="008539F6">
        <w:t xml:space="preserve"> </w:t>
      </w:r>
      <w:r w:rsidRPr="008539F6">
        <w:t>vliv stavby na okolní stavby a pozemky, ochrana okolí, vliv stavby na odtokové poměry v území</w:t>
      </w:r>
      <w:bookmarkEnd w:id="10"/>
      <w:bookmarkEnd w:id="11"/>
    </w:p>
    <w:p w14:paraId="5CB481BC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 xml:space="preserve">Po dokončení nebude mít stavba vliv na okolní stavby a pozemky. Při realizaci bude dbáno na zajištění minimální prašnosti a obtěžování hlukem ze stavební výroby. Práce budou probíhat mimo období nočního klidu a budou respektovány příslušné obecní vyhlášky apod. </w:t>
      </w:r>
    </w:p>
    <w:p w14:paraId="13E1E589" w14:textId="77777777" w:rsidR="00AB5AE0" w:rsidRPr="008539F6" w:rsidRDefault="00AB5AE0" w:rsidP="008539F6">
      <w:pPr>
        <w:pStyle w:val="Nadpis2"/>
        <w:spacing w:line="260" w:lineRule="exact"/>
      </w:pPr>
      <w:bookmarkStart w:id="12" w:name="_Toc367870205"/>
      <w:bookmarkStart w:id="13" w:name="_Toc72163655"/>
      <w:r w:rsidRPr="008539F6">
        <w:t>f)</w:t>
      </w:r>
      <w:r w:rsidR="00372F7E" w:rsidRPr="008539F6">
        <w:t xml:space="preserve"> </w:t>
      </w:r>
      <w:r w:rsidRPr="008539F6">
        <w:t>požadavky na asanace, demolice, kácení dřevin</w:t>
      </w:r>
      <w:bookmarkEnd w:id="12"/>
      <w:bookmarkEnd w:id="13"/>
    </w:p>
    <w:p w14:paraId="5C2F833F" w14:textId="77777777" w:rsidR="00AB5AE0" w:rsidRPr="008539F6" w:rsidRDefault="00AB5AE0" w:rsidP="008539F6">
      <w:pPr>
        <w:tabs>
          <w:tab w:val="left" w:pos="567"/>
        </w:tabs>
        <w:spacing w:line="260" w:lineRule="exact"/>
        <w:ind w:firstLine="567"/>
        <w:rPr>
          <w:sz w:val="24"/>
          <w:szCs w:val="24"/>
        </w:rPr>
      </w:pPr>
      <w:r w:rsidRPr="008539F6">
        <w:rPr>
          <w:sz w:val="24"/>
          <w:szCs w:val="24"/>
        </w:rPr>
        <w:t xml:space="preserve">Navrhovaná stavba nevyvolává žádný požadavek na kácení vzrostlých stromů ani na případnou demolici jiných stavebních objektů. </w:t>
      </w:r>
    </w:p>
    <w:p w14:paraId="25CAF6DC" w14:textId="77777777" w:rsidR="00AB5AE0" w:rsidRPr="008539F6" w:rsidRDefault="00AB5AE0" w:rsidP="008539F6">
      <w:pPr>
        <w:pStyle w:val="Nadpis2"/>
        <w:spacing w:line="260" w:lineRule="exact"/>
      </w:pPr>
      <w:bookmarkStart w:id="14" w:name="_Toc367870206"/>
      <w:bookmarkStart w:id="15" w:name="_Toc72163656"/>
      <w:r w:rsidRPr="008539F6">
        <w:t>g)</w:t>
      </w:r>
      <w:r w:rsidR="00372F7E" w:rsidRPr="008539F6">
        <w:t xml:space="preserve"> </w:t>
      </w:r>
      <w:r w:rsidRPr="008539F6">
        <w:t>požadavky na maximální zábory zemědělského půdního fondu nebo pozemků určených k plnění funkce lesa (dočasné / trvalé)</w:t>
      </w:r>
      <w:bookmarkEnd w:id="14"/>
      <w:bookmarkEnd w:id="15"/>
    </w:p>
    <w:p w14:paraId="766D09C5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Stavba nemá nároky na zábory zemědělského půdního fondu nebo pozemků určených k plnění funkce lesa.</w:t>
      </w:r>
    </w:p>
    <w:p w14:paraId="501CBF14" w14:textId="77777777" w:rsidR="00AB5AE0" w:rsidRPr="008539F6" w:rsidRDefault="00AB5AE0" w:rsidP="008539F6">
      <w:pPr>
        <w:pStyle w:val="Nadpis2"/>
        <w:spacing w:line="260" w:lineRule="exact"/>
      </w:pPr>
      <w:bookmarkStart w:id="16" w:name="_Toc367870207"/>
      <w:bookmarkStart w:id="17" w:name="_Toc72163657"/>
      <w:r w:rsidRPr="008539F6">
        <w:t>h)</w:t>
      </w:r>
      <w:r w:rsidR="00372F7E" w:rsidRPr="008539F6">
        <w:t xml:space="preserve"> </w:t>
      </w:r>
      <w:r w:rsidRPr="008539F6">
        <w:t>územně technické podmínky (možnost napojení na stávající dopravní a technickou infrastrukturu)</w:t>
      </w:r>
      <w:bookmarkEnd w:id="16"/>
      <w:bookmarkEnd w:id="17"/>
    </w:p>
    <w:p w14:paraId="79DB4D7C" w14:textId="77777777" w:rsidR="00AB5AE0" w:rsidRPr="008539F6" w:rsidRDefault="00AB5AE0" w:rsidP="008539F6">
      <w:pPr>
        <w:tabs>
          <w:tab w:val="left" w:pos="567"/>
        </w:tabs>
        <w:spacing w:line="260" w:lineRule="exact"/>
        <w:ind w:firstLine="567"/>
        <w:rPr>
          <w:sz w:val="24"/>
          <w:szCs w:val="24"/>
        </w:rPr>
      </w:pPr>
      <w:r w:rsidRPr="008539F6">
        <w:rPr>
          <w:sz w:val="24"/>
          <w:szCs w:val="24"/>
        </w:rPr>
        <w:t>Záměrem nevznikají nové nároky na územně technické podmínky. Stavba je napojena stávajícími přípojkami na technickou a dopravní infrastrukturu.</w:t>
      </w:r>
    </w:p>
    <w:p w14:paraId="6D388B79" w14:textId="77777777" w:rsidR="00AB5AE0" w:rsidRPr="008539F6" w:rsidRDefault="00AB5AE0" w:rsidP="008539F6">
      <w:pPr>
        <w:pStyle w:val="Nadpis2"/>
        <w:spacing w:line="260" w:lineRule="exact"/>
      </w:pPr>
      <w:bookmarkStart w:id="18" w:name="_Toc367870208"/>
      <w:bookmarkStart w:id="19" w:name="_Toc72163658"/>
      <w:r w:rsidRPr="008539F6">
        <w:t>i)</w:t>
      </w:r>
      <w:r w:rsidR="00372F7E" w:rsidRPr="008539F6">
        <w:t xml:space="preserve"> </w:t>
      </w:r>
      <w:r w:rsidRPr="008539F6">
        <w:t>věcné a časové vazby stavby, podmiňující, vyvolané, související investice</w:t>
      </w:r>
      <w:bookmarkEnd w:id="18"/>
      <w:bookmarkEnd w:id="19"/>
    </w:p>
    <w:p w14:paraId="2D4BA3DC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Stavba nemá žádné věcné a časové vazby na jiné stavby. Stavba nemá žádné podmiňující, vyvolané a související investice.</w:t>
      </w:r>
    </w:p>
    <w:p w14:paraId="49D9EEFC" w14:textId="77777777" w:rsidR="009C0F35" w:rsidRPr="008539F6" w:rsidRDefault="009C0F35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</w:p>
    <w:p w14:paraId="48B21F00" w14:textId="55FF6671" w:rsidR="009C0F35" w:rsidRDefault="009C0F35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</w:p>
    <w:p w14:paraId="4209DD55" w14:textId="77777777" w:rsidR="009D2AB5" w:rsidRPr="008539F6" w:rsidRDefault="009D2AB5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</w:p>
    <w:p w14:paraId="0C74F9A9" w14:textId="77777777" w:rsidR="00AB5AE0" w:rsidRPr="008539F6" w:rsidRDefault="00AB5AE0" w:rsidP="008539F6">
      <w:pPr>
        <w:tabs>
          <w:tab w:val="left" w:pos="567"/>
        </w:tabs>
        <w:spacing w:line="260" w:lineRule="exact"/>
        <w:ind w:firstLine="567"/>
        <w:rPr>
          <w:sz w:val="24"/>
          <w:szCs w:val="24"/>
          <w:u w:val="single"/>
        </w:rPr>
      </w:pPr>
      <w:r w:rsidRPr="008539F6">
        <w:rPr>
          <w:sz w:val="24"/>
          <w:szCs w:val="24"/>
          <w:u w:val="single"/>
        </w:rPr>
        <w:lastRenderedPageBreak/>
        <w:t>Předpoklady pro zahájení stavby:</w:t>
      </w:r>
    </w:p>
    <w:p w14:paraId="7E9A83F6" w14:textId="77777777" w:rsidR="00AB5AE0" w:rsidRPr="008539F6" w:rsidRDefault="00AB5AE0" w:rsidP="008539F6">
      <w:pPr>
        <w:numPr>
          <w:ilvl w:val="0"/>
          <w:numId w:val="39"/>
        </w:numPr>
        <w:tabs>
          <w:tab w:val="left" w:pos="567"/>
        </w:tabs>
        <w:spacing w:before="120" w:line="260" w:lineRule="exact"/>
        <w:ind w:left="0"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Staveništní přípojka vody </w:t>
      </w:r>
      <w:r w:rsidR="00122853" w:rsidRPr="008539F6">
        <w:rPr>
          <w:sz w:val="24"/>
          <w:szCs w:val="24"/>
        </w:rPr>
        <w:t>-</w:t>
      </w:r>
      <w:r w:rsidRPr="008539F6">
        <w:rPr>
          <w:sz w:val="24"/>
          <w:szCs w:val="24"/>
        </w:rPr>
        <w:t xml:space="preserve"> zásobování vodou </w:t>
      </w:r>
      <w:r w:rsidR="00A35ED0" w:rsidRPr="008539F6">
        <w:rPr>
          <w:sz w:val="24"/>
          <w:szCs w:val="24"/>
        </w:rPr>
        <w:t xml:space="preserve">bude zajištěno </w:t>
      </w:r>
      <w:r w:rsidR="00122853" w:rsidRPr="008539F6">
        <w:rPr>
          <w:sz w:val="24"/>
          <w:szCs w:val="24"/>
        </w:rPr>
        <w:t xml:space="preserve">zhotovitelem stavby (např. cisterna)  </w:t>
      </w:r>
    </w:p>
    <w:p w14:paraId="08C55DB8" w14:textId="77777777" w:rsidR="00122853" w:rsidRPr="008539F6" w:rsidRDefault="00AB5AE0" w:rsidP="008539F6">
      <w:pPr>
        <w:numPr>
          <w:ilvl w:val="0"/>
          <w:numId w:val="39"/>
        </w:numPr>
        <w:tabs>
          <w:tab w:val="left" w:pos="567"/>
        </w:tabs>
        <w:spacing w:before="120" w:line="260" w:lineRule="exact"/>
        <w:ind w:left="0"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>Přípojka elektro (</w:t>
      </w:r>
      <w:proofErr w:type="gramStart"/>
      <w:r w:rsidRPr="008539F6">
        <w:rPr>
          <w:sz w:val="24"/>
          <w:szCs w:val="24"/>
        </w:rPr>
        <w:t>380V</w:t>
      </w:r>
      <w:proofErr w:type="gramEnd"/>
      <w:r w:rsidRPr="008539F6">
        <w:rPr>
          <w:sz w:val="24"/>
          <w:szCs w:val="24"/>
        </w:rPr>
        <w:t xml:space="preserve">, 220V) </w:t>
      </w:r>
      <w:r w:rsidR="00122853" w:rsidRPr="008539F6">
        <w:rPr>
          <w:sz w:val="24"/>
          <w:szCs w:val="24"/>
        </w:rPr>
        <w:t>-</w:t>
      </w:r>
      <w:r w:rsidRPr="008539F6">
        <w:rPr>
          <w:sz w:val="24"/>
          <w:szCs w:val="24"/>
        </w:rPr>
        <w:t xml:space="preserve"> </w:t>
      </w:r>
      <w:r w:rsidR="00122853" w:rsidRPr="008539F6">
        <w:rPr>
          <w:sz w:val="24"/>
          <w:szCs w:val="24"/>
        </w:rPr>
        <w:t>elektrická energie bude zajištěna zhotovitelem stavby (např. agr</w:t>
      </w:r>
      <w:r w:rsidR="00CA3030" w:rsidRPr="008539F6">
        <w:rPr>
          <w:sz w:val="24"/>
          <w:szCs w:val="24"/>
        </w:rPr>
        <w:t>e</w:t>
      </w:r>
      <w:r w:rsidR="00122853" w:rsidRPr="008539F6">
        <w:rPr>
          <w:sz w:val="24"/>
          <w:szCs w:val="24"/>
        </w:rPr>
        <w:t>gáty). Případné požadavky připojení na elektrickou energii z distribuční sítě je možné řešit až po konzultaci s vybraným dodavatelem stavby.</w:t>
      </w:r>
      <w:r w:rsidR="00CA3030" w:rsidRPr="008539F6">
        <w:rPr>
          <w:sz w:val="24"/>
          <w:szCs w:val="24"/>
        </w:rPr>
        <w:t xml:space="preserve"> </w:t>
      </w:r>
    </w:p>
    <w:p w14:paraId="16A91E4F" w14:textId="2C1EA6B2" w:rsidR="00AB5AE0" w:rsidRPr="008539F6" w:rsidRDefault="00AB5AE0" w:rsidP="008539F6">
      <w:pPr>
        <w:numPr>
          <w:ilvl w:val="0"/>
          <w:numId w:val="39"/>
        </w:numPr>
        <w:tabs>
          <w:tab w:val="left" w:pos="567"/>
        </w:tabs>
        <w:spacing w:before="120" w:line="260" w:lineRule="exact"/>
        <w:ind w:left="0"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>Zařízen</w:t>
      </w:r>
      <w:r w:rsidR="00A73D07" w:rsidRPr="008539F6">
        <w:rPr>
          <w:sz w:val="24"/>
          <w:szCs w:val="24"/>
        </w:rPr>
        <w:t xml:space="preserve">í staveniště se bude nacházet </w:t>
      </w:r>
      <w:r w:rsidR="00BF0AA7">
        <w:rPr>
          <w:sz w:val="24"/>
          <w:szCs w:val="24"/>
        </w:rPr>
        <w:t>v plynové kotelně</w:t>
      </w:r>
      <w:r w:rsidR="00C6172D">
        <w:rPr>
          <w:sz w:val="24"/>
          <w:szCs w:val="24"/>
        </w:rPr>
        <w:t>.</w:t>
      </w:r>
      <w:r w:rsidR="004C23B7" w:rsidRPr="008539F6">
        <w:rPr>
          <w:sz w:val="24"/>
          <w:szCs w:val="24"/>
        </w:rPr>
        <w:t xml:space="preserve"> </w:t>
      </w:r>
      <w:r w:rsidR="00A73D07" w:rsidRPr="008539F6">
        <w:rPr>
          <w:sz w:val="24"/>
          <w:szCs w:val="24"/>
        </w:rPr>
        <w:t xml:space="preserve"> </w:t>
      </w:r>
      <w:r w:rsidRPr="008539F6">
        <w:rPr>
          <w:sz w:val="24"/>
          <w:szCs w:val="24"/>
        </w:rPr>
        <w:t xml:space="preserve"> </w:t>
      </w:r>
    </w:p>
    <w:p w14:paraId="70FC7498" w14:textId="1C5CCF81" w:rsidR="00AB5AE0" w:rsidRPr="008539F6" w:rsidRDefault="00AB5AE0" w:rsidP="008539F6">
      <w:pPr>
        <w:numPr>
          <w:ilvl w:val="0"/>
          <w:numId w:val="39"/>
        </w:numPr>
        <w:tabs>
          <w:tab w:val="left" w:pos="567"/>
        </w:tabs>
        <w:spacing w:before="120" w:line="260" w:lineRule="exact"/>
        <w:ind w:left="0"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Před zahájením výstavby bude staveniště </w:t>
      </w:r>
      <w:r w:rsidR="00A73D07" w:rsidRPr="008539F6">
        <w:rPr>
          <w:sz w:val="24"/>
          <w:szCs w:val="24"/>
        </w:rPr>
        <w:t xml:space="preserve">(prostor </w:t>
      </w:r>
      <w:r w:rsidR="00BF0AA7">
        <w:rPr>
          <w:sz w:val="24"/>
          <w:szCs w:val="24"/>
        </w:rPr>
        <w:t>před plynovou kotelnou</w:t>
      </w:r>
      <w:r w:rsidR="004C23B7" w:rsidRPr="008539F6">
        <w:rPr>
          <w:sz w:val="24"/>
          <w:szCs w:val="24"/>
        </w:rPr>
        <w:t xml:space="preserve">) </w:t>
      </w:r>
      <w:r w:rsidR="00A73D07" w:rsidRPr="008539F6">
        <w:rPr>
          <w:sz w:val="24"/>
          <w:szCs w:val="24"/>
        </w:rPr>
        <w:t>vyb</w:t>
      </w:r>
      <w:r w:rsidRPr="008539F6">
        <w:rPr>
          <w:sz w:val="24"/>
          <w:szCs w:val="24"/>
        </w:rPr>
        <w:t xml:space="preserve">aveno dle potřeby stavebním </w:t>
      </w:r>
      <w:r w:rsidR="00A73D07" w:rsidRPr="008539F6">
        <w:rPr>
          <w:sz w:val="24"/>
          <w:szCs w:val="24"/>
        </w:rPr>
        <w:t>s</w:t>
      </w:r>
      <w:r w:rsidRPr="008539F6">
        <w:rPr>
          <w:sz w:val="24"/>
          <w:szCs w:val="24"/>
        </w:rPr>
        <w:t>kladovým kontejner</w:t>
      </w:r>
      <w:r w:rsidR="00C6172D">
        <w:rPr>
          <w:sz w:val="24"/>
          <w:szCs w:val="24"/>
        </w:rPr>
        <w:t>em.</w:t>
      </w:r>
      <w:r w:rsidRPr="008539F6">
        <w:rPr>
          <w:sz w:val="24"/>
          <w:szCs w:val="24"/>
        </w:rPr>
        <w:t xml:space="preserve"> Rozsah těchto staveništních zařízení bude upřesněn s dodavatelem stavby před zahájením prací. Orientační doba stavby se předpokládá v rozsahu </w:t>
      </w:r>
      <w:r w:rsidR="00AB282D" w:rsidRPr="008539F6">
        <w:rPr>
          <w:sz w:val="24"/>
          <w:szCs w:val="24"/>
        </w:rPr>
        <w:t xml:space="preserve">- </w:t>
      </w:r>
      <w:r w:rsidR="00C6172D">
        <w:rPr>
          <w:sz w:val="24"/>
          <w:szCs w:val="24"/>
        </w:rPr>
        <w:t>2</w:t>
      </w:r>
      <w:r w:rsidRPr="008539F6">
        <w:rPr>
          <w:sz w:val="24"/>
          <w:szCs w:val="24"/>
        </w:rPr>
        <w:t xml:space="preserve"> měsíce</w:t>
      </w:r>
    </w:p>
    <w:p w14:paraId="67A740D4" w14:textId="77777777" w:rsidR="00AB5AE0" w:rsidRPr="008539F6" w:rsidRDefault="00AB5AE0" w:rsidP="008539F6">
      <w:pPr>
        <w:tabs>
          <w:tab w:val="left" w:pos="567"/>
        </w:tabs>
        <w:spacing w:before="120" w:line="260" w:lineRule="exact"/>
        <w:ind w:firstLine="567"/>
        <w:rPr>
          <w:sz w:val="24"/>
          <w:szCs w:val="24"/>
          <w:u w:val="single"/>
        </w:rPr>
      </w:pPr>
      <w:r w:rsidRPr="008539F6">
        <w:rPr>
          <w:sz w:val="24"/>
          <w:szCs w:val="24"/>
          <w:u w:val="single"/>
        </w:rPr>
        <w:t xml:space="preserve">Předpokládaná lhůta výstavby: </w:t>
      </w:r>
    </w:p>
    <w:p w14:paraId="166EF051" w14:textId="53B011DA" w:rsidR="00AB5AE0" w:rsidRPr="008539F6" w:rsidRDefault="00AB5AE0" w:rsidP="008539F6">
      <w:pPr>
        <w:tabs>
          <w:tab w:val="left" w:pos="567"/>
        </w:tabs>
        <w:spacing w:before="120" w:line="260" w:lineRule="exact"/>
        <w:ind w:firstLine="567"/>
        <w:rPr>
          <w:sz w:val="24"/>
          <w:szCs w:val="24"/>
        </w:rPr>
      </w:pPr>
      <w:r w:rsidRPr="008539F6">
        <w:rPr>
          <w:sz w:val="24"/>
          <w:szCs w:val="24"/>
        </w:rPr>
        <w:tab/>
      </w:r>
      <w:r w:rsidRPr="008539F6">
        <w:rPr>
          <w:sz w:val="24"/>
          <w:szCs w:val="24"/>
        </w:rPr>
        <w:tab/>
        <w:t>Zahájení</w:t>
      </w:r>
      <w:r w:rsidRPr="008539F6">
        <w:rPr>
          <w:sz w:val="24"/>
          <w:szCs w:val="24"/>
        </w:rPr>
        <w:tab/>
      </w:r>
      <w:r w:rsidRPr="008539F6">
        <w:rPr>
          <w:sz w:val="24"/>
          <w:szCs w:val="24"/>
        </w:rPr>
        <w:tab/>
      </w:r>
      <w:r w:rsidRPr="008539F6">
        <w:rPr>
          <w:sz w:val="24"/>
          <w:szCs w:val="24"/>
        </w:rPr>
        <w:tab/>
      </w:r>
      <w:r w:rsidR="00DD237B" w:rsidRPr="008539F6">
        <w:rPr>
          <w:sz w:val="24"/>
          <w:szCs w:val="24"/>
        </w:rPr>
        <w:t xml:space="preserve">nejdříve </w:t>
      </w:r>
      <w:r w:rsidR="00C6172D">
        <w:rPr>
          <w:sz w:val="24"/>
          <w:szCs w:val="24"/>
        </w:rPr>
        <w:t>6</w:t>
      </w:r>
      <w:r w:rsidRPr="008539F6">
        <w:rPr>
          <w:sz w:val="24"/>
          <w:szCs w:val="24"/>
        </w:rPr>
        <w:t>/20</w:t>
      </w:r>
      <w:r w:rsidR="00915D12" w:rsidRPr="008539F6">
        <w:rPr>
          <w:sz w:val="24"/>
          <w:szCs w:val="24"/>
        </w:rPr>
        <w:t>21</w:t>
      </w:r>
    </w:p>
    <w:p w14:paraId="39060B19" w14:textId="46362A73" w:rsidR="00AB5AE0" w:rsidRPr="008539F6" w:rsidRDefault="00AB5AE0" w:rsidP="008539F6">
      <w:pPr>
        <w:tabs>
          <w:tab w:val="left" w:pos="567"/>
        </w:tabs>
        <w:spacing w:line="260" w:lineRule="exact"/>
        <w:ind w:firstLine="567"/>
        <w:rPr>
          <w:sz w:val="24"/>
          <w:szCs w:val="24"/>
        </w:rPr>
      </w:pPr>
      <w:r w:rsidRPr="008539F6">
        <w:rPr>
          <w:sz w:val="24"/>
          <w:szCs w:val="24"/>
        </w:rPr>
        <w:tab/>
      </w:r>
      <w:r w:rsidRPr="008539F6">
        <w:rPr>
          <w:sz w:val="24"/>
          <w:szCs w:val="24"/>
        </w:rPr>
        <w:tab/>
        <w:t>Dokončení</w:t>
      </w:r>
      <w:r w:rsidRPr="008539F6">
        <w:rPr>
          <w:sz w:val="24"/>
          <w:szCs w:val="24"/>
        </w:rPr>
        <w:tab/>
      </w:r>
      <w:r w:rsidRPr="008539F6">
        <w:rPr>
          <w:sz w:val="24"/>
          <w:szCs w:val="24"/>
        </w:rPr>
        <w:tab/>
      </w:r>
      <w:r w:rsidRPr="008539F6">
        <w:rPr>
          <w:sz w:val="24"/>
          <w:szCs w:val="24"/>
        </w:rPr>
        <w:tab/>
      </w:r>
      <w:r w:rsidR="00DD237B" w:rsidRPr="008539F6">
        <w:rPr>
          <w:sz w:val="24"/>
          <w:szCs w:val="24"/>
        </w:rPr>
        <w:t xml:space="preserve">nejpozději </w:t>
      </w:r>
      <w:r w:rsidR="00D87199" w:rsidRPr="008539F6">
        <w:rPr>
          <w:sz w:val="24"/>
          <w:szCs w:val="24"/>
        </w:rPr>
        <w:t>9</w:t>
      </w:r>
      <w:r w:rsidRPr="008539F6">
        <w:rPr>
          <w:sz w:val="24"/>
          <w:szCs w:val="24"/>
        </w:rPr>
        <w:t>/20</w:t>
      </w:r>
      <w:r w:rsidR="00915D12" w:rsidRPr="008539F6">
        <w:rPr>
          <w:sz w:val="24"/>
          <w:szCs w:val="24"/>
        </w:rPr>
        <w:t>21</w:t>
      </w:r>
    </w:p>
    <w:p w14:paraId="37E49659" w14:textId="77777777" w:rsidR="00AB5AE0" w:rsidRPr="008539F6" w:rsidRDefault="00AB5AE0" w:rsidP="008539F6">
      <w:pPr>
        <w:tabs>
          <w:tab w:val="left" w:pos="567"/>
        </w:tabs>
        <w:spacing w:line="260" w:lineRule="exact"/>
        <w:ind w:firstLine="567"/>
        <w:rPr>
          <w:sz w:val="24"/>
          <w:szCs w:val="24"/>
        </w:rPr>
      </w:pPr>
    </w:p>
    <w:p w14:paraId="5768AD1F" w14:textId="77777777" w:rsidR="00AB5AE0" w:rsidRPr="008539F6" w:rsidRDefault="00AB5AE0" w:rsidP="008539F6">
      <w:pPr>
        <w:pStyle w:val="Nadpis1"/>
        <w:spacing w:line="260" w:lineRule="exact"/>
        <w:rPr>
          <w:szCs w:val="24"/>
        </w:rPr>
      </w:pPr>
      <w:bookmarkStart w:id="20" w:name="_Toc367870209"/>
      <w:bookmarkStart w:id="21" w:name="_Toc72163659"/>
      <w:proofErr w:type="gramStart"/>
      <w:r w:rsidRPr="008539F6">
        <w:rPr>
          <w:szCs w:val="24"/>
        </w:rPr>
        <w:t>B.2  Celkový</w:t>
      </w:r>
      <w:proofErr w:type="gramEnd"/>
      <w:r w:rsidRPr="008539F6">
        <w:rPr>
          <w:szCs w:val="24"/>
        </w:rPr>
        <w:t xml:space="preserve"> popis stavby</w:t>
      </w:r>
      <w:bookmarkEnd w:id="20"/>
      <w:bookmarkEnd w:id="21"/>
    </w:p>
    <w:p w14:paraId="0695FEF5" w14:textId="0C1E071B" w:rsidR="00AB5AE0" w:rsidRDefault="00AB5AE0" w:rsidP="00BF0AA7">
      <w:pPr>
        <w:pStyle w:val="Nadpis1"/>
        <w:spacing w:before="240" w:line="260" w:lineRule="exact"/>
        <w:jc w:val="both"/>
        <w:rPr>
          <w:szCs w:val="24"/>
        </w:rPr>
      </w:pPr>
      <w:bookmarkStart w:id="22" w:name="_Toc367870210"/>
      <w:bookmarkStart w:id="23" w:name="_Toc72163660"/>
      <w:proofErr w:type="gramStart"/>
      <w:r w:rsidRPr="008539F6">
        <w:rPr>
          <w:szCs w:val="24"/>
        </w:rPr>
        <w:t>B.2.1  Účel</w:t>
      </w:r>
      <w:proofErr w:type="gramEnd"/>
      <w:r w:rsidRPr="008539F6">
        <w:rPr>
          <w:szCs w:val="24"/>
        </w:rPr>
        <w:t xml:space="preserve"> užívání stavby</w:t>
      </w:r>
      <w:bookmarkEnd w:id="22"/>
      <w:bookmarkEnd w:id="23"/>
    </w:p>
    <w:p w14:paraId="0E5B6DF3" w14:textId="77777777" w:rsidR="00674C33" w:rsidRPr="00674C33" w:rsidRDefault="00674C33" w:rsidP="00BF0AA7">
      <w:pPr>
        <w:jc w:val="both"/>
      </w:pPr>
    </w:p>
    <w:p w14:paraId="43629F9F" w14:textId="77777777" w:rsidR="00AB5AE0" w:rsidRPr="008539F6" w:rsidRDefault="00AB5AE0" w:rsidP="00BF0AA7">
      <w:pPr>
        <w:pStyle w:val="Nadpis2"/>
        <w:spacing w:before="200" w:line="260" w:lineRule="exact"/>
        <w:jc w:val="both"/>
      </w:pPr>
      <w:bookmarkStart w:id="24" w:name="_Toc367870211"/>
      <w:bookmarkStart w:id="25" w:name="_Toc72163661"/>
      <w:r w:rsidRPr="008539F6">
        <w:t>a)</w:t>
      </w:r>
      <w:r w:rsidR="00372F7E" w:rsidRPr="008539F6">
        <w:t xml:space="preserve"> </w:t>
      </w:r>
      <w:r w:rsidRPr="008539F6">
        <w:t>funkční náplň stavby</w:t>
      </w:r>
      <w:bookmarkEnd w:id="24"/>
      <w:bookmarkEnd w:id="25"/>
    </w:p>
    <w:p w14:paraId="39926D74" w14:textId="03BED357" w:rsidR="00372F7E" w:rsidRPr="008539F6" w:rsidRDefault="00AB5AE0" w:rsidP="00BF0AA7">
      <w:pPr>
        <w:tabs>
          <w:tab w:val="left" w:pos="567"/>
          <w:tab w:val="left" w:pos="3402"/>
        </w:tabs>
        <w:spacing w:before="120"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Stavba zajišťuje </w:t>
      </w:r>
      <w:r w:rsidR="00674C33">
        <w:rPr>
          <w:sz w:val="24"/>
          <w:szCs w:val="24"/>
        </w:rPr>
        <w:t xml:space="preserve">výměnu </w:t>
      </w:r>
      <w:r w:rsidR="00BF0AA7">
        <w:rPr>
          <w:sz w:val="24"/>
          <w:szCs w:val="24"/>
        </w:rPr>
        <w:t>dožitých plynových kotlů za nové plynové kondenzační kotle.</w:t>
      </w:r>
      <w:r w:rsidR="00915D12" w:rsidRPr="008539F6">
        <w:rPr>
          <w:sz w:val="24"/>
          <w:szCs w:val="24"/>
        </w:rPr>
        <w:t xml:space="preserve"> </w:t>
      </w:r>
      <w:r w:rsidR="00A73D07" w:rsidRPr="008539F6">
        <w:rPr>
          <w:sz w:val="24"/>
          <w:szCs w:val="24"/>
        </w:rPr>
        <w:t xml:space="preserve"> </w:t>
      </w:r>
    </w:p>
    <w:p w14:paraId="417DDB0D" w14:textId="77777777" w:rsidR="00AB5AE0" w:rsidRPr="008539F6" w:rsidRDefault="00AB5AE0" w:rsidP="00BF0AA7">
      <w:pPr>
        <w:pStyle w:val="Nadpis2"/>
        <w:spacing w:before="200" w:line="260" w:lineRule="exact"/>
        <w:jc w:val="both"/>
      </w:pPr>
      <w:bookmarkStart w:id="26" w:name="_Toc367870212"/>
      <w:bookmarkStart w:id="27" w:name="_Toc72163662"/>
      <w:r w:rsidRPr="008539F6">
        <w:t>b)</w:t>
      </w:r>
      <w:r w:rsidR="00372F7E" w:rsidRPr="008539F6">
        <w:t xml:space="preserve"> </w:t>
      </w:r>
      <w:r w:rsidRPr="008539F6">
        <w:t>základní kapacity funkčních jednotek</w:t>
      </w:r>
      <w:bookmarkEnd w:id="26"/>
      <w:bookmarkEnd w:id="27"/>
    </w:p>
    <w:p w14:paraId="14494862" w14:textId="77777777" w:rsidR="00AB5AE0" w:rsidRPr="008539F6" w:rsidRDefault="00AB5AE0" w:rsidP="00BF0AA7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bCs/>
          <w:sz w:val="24"/>
          <w:szCs w:val="24"/>
        </w:rPr>
        <w:t>Rozsah napojených míst rozvodů v objektech a výkonové požadavky objektů se nezmění oproti stávajícímu stavu.</w:t>
      </w:r>
    </w:p>
    <w:p w14:paraId="5A6A9617" w14:textId="77777777" w:rsidR="00AB5AE0" w:rsidRPr="008539F6" w:rsidRDefault="00AB5AE0" w:rsidP="00BF0AA7">
      <w:pPr>
        <w:pStyle w:val="Nadpis2"/>
        <w:spacing w:before="200" w:line="260" w:lineRule="exact"/>
        <w:jc w:val="both"/>
      </w:pPr>
      <w:bookmarkStart w:id="28" w:name="_Toc367870213"/>
      <w:bookmarkStart w:id="29" w:name="_Toc72163663"/>
      <w:r w:rsidRPr="008539F6">
        <w:t>c)</w:t>
      </w:r>
      <w:r w:rsidR="00372F7E" w:rsidRPr="008539F6">
        <w:t xml:space="preserve"> </w:t>
      </w:r>
      <w:r w:rsidRPr="008539F6">
        <w:t>maximální produkovaná množství a druhy odpadů a emisí a způsob nakládání s nimi</w:t>
      </w:r>
      <w:bookmarkEnd w:id="28"/>
      <w:bookmarkEnd w:id="29"/>
    </w:p>
    <w:p w14:paraId="460CDCED" w14:textId="77777777" w:rsidR="00AB5AE0" w:rsidRPr="008539F6" w:rsidRDefault="00AB5AE0" w:rsidP="00BF0AA7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Stavba po dokončení neprodukuje žádné odpady a emise.</w:t>
      </w:r>
    </w:p>
    <w:p w14:paraId="4D37A0CC" w14:textId="77777777" w:rsidR="00AB5AE0" w:rsidRPr="008539F6" w:rsidRDefault="00AB5AE0" w:rsidP="00BF0AA7">
      <w:pPr>
        <w:pStyle w:val="Nadpis1"/>
        <w:spacing w:before="240" w:line="260" w:lineRule="exact"/>
        <w:jc w:val="both"/>
        <w:rPr>
          <w:szCs w:val="24"/>
        </w:rPr>
      </w:pPr>
      <w:bookmarkStart w:id="30" w:name="_Toc367870214"/>
      <w:bookmarkStart w:id="31" w:name="_Toc72163664"/>
      <w:proofErr w:type="gramStart"/>
      <w:r w:rsidRPr="008539F6">
        <w:rPr>
          <w:szCs w:val="24"/>
        </w:rPr>
        <w:t>B.2.2  Celkové</w:t>
      </w:r>
      <w:proofErr w:type="gramEnd"/>
      <w:r w:rsidRPr="008539F6">
        <w:rPr>
          <w:szCs w:val="24"/>
        </w:rPr>
        <w:t xml:space="preserve"> urbanistické a architektonické řešení</w:t>
      </w:r>
      <w:bookmarkEnd w:id="30"/>
      <w:bookmarkEnd w:id="31"/>
    </w:p>
    <w:p w14:paraId="6A209157" w14:textId="77777777" w:rsidR="00AB5AE0" w:rsidRPr="008539F6" w:rsidRDefault="00AB5AE0" w:rsidP="00BF0AA7">
      <w:pPr>
        <w:pStyle w:val="Nadpis2"/>
        <w:spacing w:before="200" w:line="260" w:lineRule="exact"/>
        <w:jc w:val="both"/>
      </w:pPr>
      <w:bookmarkStart w:id="32" w:name="_Toc367870215"/>
      <w:bookmarkStart w:id="33" w:name="_Toc72163665"/>
      <w:r w:rsidRPr="008539F6">
        <w:t>a)</w:t>
      </w:r>
      <w:r w:rsidR="00372F7E" w:rsidRPr="008539F6">
        <w:t xml:space="preserve"> </w:t>
      </w:r>
      <w:r w:rsidRPr="008539F6">
        <w:t>urbanismus - územní regulace, kompozice prostorového řešení</w:t>
      </w:r>
      <w:bookmarkEnd w:id="32"/>
      <w:bookmarkEnd w:id="33"/>
    </w:p>
    <w:p w14:paraId="7E74B1A2" w14:textId="3B4DFFF8" w:rsidR="00DD237B" w:rsidRPr="008539F6" w:rsidRDefault="00AB5AE0" w:rsidP="00BF0AA7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Jedná se o rekonstrukci </w:t>
      </w:r>
      <w:r w:rsidR="00BF0AA7">
        <w:rPr>
          <w:sz w:val="24"/>
          <w:szCs w:val="24"/>
        </w:rPr>
        <w:t>plynových kotlů ve stávající plynové kotelně</w:t>
      </w:r>
      <w:r w:rsidRPr="008539F6">
        <w:rPr>
          <w:sz w:val="24"/>
          <w:szCs w:val="24"/>
        </w:rPr>
        <w:t xml:space="preserve">, urbanistické řešení se záměrem nemění. </w:t>
      </w:r>
      <w:bookmarkStart w:id="34" w:name="_Toc367870216"/>
    </w:p>
    <w:p w14:paraId="5DCF9DCB" w14:textId="77777777" w:rsidR="00AB5AE0" w:rsidRPr="008539F6" w:rsidRDefault="00AB5AE0" w:rsidP="00BF0AA7">
      <w:pPr>
        <w:pStyle w:val="Nadpis2"/>
        <w:spacing w:before="200" w:line="260" w:lineRule="exact"/>
        <w:jc w:val="both"/>
      </w:pPr>
      <w:bookmarkStart w:id="35" w:name="_Toc72163666"/>
      <w:r w:rsidRPr="008539F6">
        <w:t>b)</w:t>
      </w:r>
      <w:r w:rsidR="00372F7E" w:rsidRPr="008539F6">
        <w:t xml:space="preserve"> </w:t>
      </w:r>
      <w:r w:rsidRPr="008539F6">
        <w:t>architektonické řešení - kompozice tvarového řešení, materiálové a barevné řešení</w:t>
      </w:r>
      <w:bookmarkEnd w:id="34"/>
      <w:bookmarkEnd w:id="35"/>
    </w:p>
    <w:p w14:paraId="00E55E06" w14:textId="1DFA9C54" w:rsidR="00AB5AE0" w:rsidRPr="008539F6" w:rsidRDefault="00AB5AE0" w:rsidP="00BF0AA7">
      <w:pPr>
        <w:tabs>
          <w:tab w:val="left" w:pos="567"/>
          <w:tab w:val="left" w:pos="3402"/>
        </w:tabs>
        <w:spacing w:before="120"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Předmětem stavby je </w:t>
      </w:r>
      <w:r w:rsidR="00674C33">
        <w:rPr>
          <w:sz w:val="24"/>
          <w:szCs w:val="24"/>
        </w:rPr>
        <w:t>výměna</w:t>
      </w:r>
      <w:r w:rsidRPr="008539F6">
        <w:rPr>
          <w:sz w:val="24"/>
          <w:szCs w:val="24"/>
        </w:rPr>
        <w:t xml:space="preserve"> </w:t>
      </w:r>
      <w:r w:rsidR="00BF0AA7">
        <w:rPr>
          <w:sz w:val="24"/>
          <w:szCs w:val="24"/>
        </w:rPr>
        <w:t>kotlové technologie</w:t>
      </w:r>
      <w:r w:rsidR="00F97D35" w:rsidRPr="008539F6">
        <w:rPr>
          <w:sz w:val="24"/>
          <w:szCs w:val="24"/>
        </w:rPr>
        <w:t xml:space="preserve"> v</w:t>
      </w:r>
      <w:r w:rsidR="00BF0AA7">
        <w:rPr>
          <w:sz w:val="24"/>
          <w:szCs w:val="24"/>
        </w:rPr>
        <w:t xml:space="preserve">e stávající plynové kotelně. </w:t>
      </w:r>
      <w:r w:rsidRPr="008539F6">
        <w:rPr>
          <w:sz w:val="24"/>
          <w:szCs w:val="24"/>
        </w:rPr>
        <w:t xml:space="preserve">Stavba proto nemá nároky na architektonické řešení. </w:t>
      </w:r>
    </w:p>
    <w:p w14:paraId="21773421" w14:textId="77777777" w:rsidR="00AB5AE0" w:rsidRPr="008539F6" w:rsidRDefault="00AB5AE0" w:rsidP="008539F6">
      <w:pPr>
        <w:pStyle w:val="Nadpis1"/>
        <w:spacing w:before="200" w:line="260" w:lineRule="exact"/>
        <w:rPr>
          <w:szCs w:val="24"/>
        </w:rPr>
      </w:pPr>
      <w:bookmarkStart w:id="36" w:name="_Toc367870217"/>
      <w:bookmarkStart w:id="37" w:name="_Toc72163667"/>
      <w:proofErr w:type="gramStart"/>
      <w:r w:rsidRPr="008539F6">
        <w:rPr>
          <w:szCs w:val="24"/>
        </w:rPr>
        <w:t>B.2.3  Celkové</w:t>
      </w:r>
      <w:proofErr w:type="gramEnd"/>
      <w:r w:rsidRPr="008539F6">
        <w:rPr>
          <w:szCs w:val="24"/>
        </w:rPr>
        <w:t xml:space="preserve"> provozní řešení, technologie výroby</w:t>
      </w:r>
      <w:bookmarkEnd w:id="36"/>
      <w:bookmarkEnd w:id="37"/>
    </w:p>
    <w:p w14:paraId="751789E9" w14:textId="524B3B5B" w:rsidR="00AB5AE0" w:rsidRPr="008539F6" w:rsidRDefault="00AB5AE0" w:rsidP="008539F6">
      <w:pPr>
        <w:pStyle w:val="Nadpis8"/>
        <w:spacing w:before="120" w:line="260" w:lineRule="exact"/>
        <w:ind w:left="0" w:firstLine="567"/>
        <w:rPr>
          <w:szCs w:val="24"/>
        </w:rPr>
      </w:pPr>
      <w:r w:rsidRPr="008539F6">
        <w:rPr>
          <w:szCs w:val="24"/>
        </w:rPr>
        <w:t xml:space="preserve">Záměr nemění provozní řešení. Napojení na veškerou technickou a dopravní infrastrukturu zůstává původní a beze změn. Zařízení slouží k zásobování </w:t>
      </w:r>
      <w:r w:rsidR="00F97D35" w:rsidRPr="008539F6">
        <w:rPr>
          <w:szCs w:val="24"/>
        </w:rPr>
        <w:t xml:space="preserve">topnou vodou a </w:t>
      </w:r>
      <w:r w:rsidRPr="008539F6">
        <w:rPr>
          <w:szCs w:val="24"/>
        </w:rPr>
        <w:t xml:space="preserve">teplou vodou vč. cirkulace </w:t>
      </w:r>
      <w:r w:rsidR="00B33E8A">
        <w:rPr>
          <w:szCs w:val="24"/>
        </w:rPr>
        <w:t>pro objekt 4. MŠ Blatenská Chomutov</w:t>
      </w:r>
      <w:r w:rsidR="00F97D35" w:rsidRPr="008539F6">
        <w:rPr>
          <w:szCs w:val="24"/>
        </w:rPr>
        <w:t>.</w:t>
      </w:r>
      <w:r w:rsidRPr="008539F6">
        <w:rPr>
          <w:szCs w:val="24"/>
        </w:rPr>
        <w:t xml:space="preserve"> </w:t>
      </w:r>
    </w:p>
    <w:p w14:paraId="2312AB21" w14:textId="77777777" w:rsidR="00AB5AE0" w:rsidRPr="008539F6" w:rsidRDefault="00AB5AE0" w:rsidP="008539F6">
      <w:pPr>
        <w:tabs>
          <w:tab w:val="left" w:pos="567"/>
        </w:tabs>
        <w:spacing w:line="260" w:lineRule="exact"/>
        <w:ind w:firstLine="567"/>
        <w:rPr>
          <w:sz w:val="24"/>
          <w:szCs w:val="24"/>
        </w:rPr>
      </w:pPr>
    </w:p>
    <w:p w14:paraId="1E3BD1A7" w14:textId="77777777" w:rsidR="00AB5AE0" w:rsidRPr="008539F6" w:rsidRDefault="00AB5AE0" w:rsidP="008539F6">
      <w:pPr>
        <w:pStyle w:val="Nadpis1"/>
        <w:spacing w:line="260" w:lineRule="exact"/>
        <w:rPr>
          <w:szCs w:val="24"/>
        </w:rPr>
      </w:pPr>
      <w:bookmarkStart w:id="38" w:name="_Toc367870218"/>
      <w:bookmarkStart w:id="39" w:name="_Toc72163668"/>
      <w:proofErr w:type="gramStart"/>
      <w:r w:rsidRPr="008539F6">
        <w:rPr>
          <w:szCs w:val="24"/>
        </w:rPr>
        <w:t>B.2.4  Bezbariérové</w:t>
      </w:r>
      <w:proofErr w:type="gramEnd"/>
      <w:r w:rsidRPr="008539F6">
        <w:rPr>
          <w:szCs w:val="24"/>
        </w:rPr>
        <w:t xml:space="preserve"> užívání stavby</w:t>
      </w:r>
      <w:bookmarkEnd w:id="38"/>
      <w:bookmarkEnd w:id="39"/>
    </w:p>
    <w:p w14:paraId="77E6C423" w14:textId="77777777" w:rsidR="00AB5AE0" w:rsidRPr="008539F6" w:rsidRDefault="00AB5AE0" w:rsidP="008539F6">
      <w:pPr>
        <w:spacing w:before="120" w:line="260" w:lineRule="exact"/>
        <w:ind w:firstLine="567"/>
        <w:rPr>
          <w:sz w:val="24"/>
          <w:szCs w:val="24"/>
        </w:rPr>
      </w:pPr>
      <w:r w:rsidRPr="008539F6">
        <w:rPr>
          <w:sz w:val="24"/>
          <w:szCs w:val="24"/>
        </w:rPr>
        <w:t>Není předmětem řešení.</w:t>
      </w:r>
    </w:p>
    <w:p w14:paraId="6AFF7610" w14:textId="77777777" w:rsidR="00AB5AE0" w:rsidRPr="008539F6" w:rsidRDefault="00AB5AE0" w:rsidP="008539F6">
      <w:pPr>
        <w:spacing w:line="260" w:lineRule="exact"/>
        <w:ind w:firstLine="567"/>
        <w:rPr>
          <w:sz w:val="24"/>
          <w:szCs w:val="24"/>
        </w:rPr>
      </w:pPr>
    </w:p>
    <w:p w14:paraId="65612DAF" w14:textId="77777777" w:rsidR="00AB5AE0" w:rsidRPr="008539F6" w:rsidRDefault="00AB5AE0" w:rsidP="008539F6">
      <w:pPr>
        <w:pStyle w:val="Nadpis1"/>
        <w:spacing w:line="260" w:lineRule="exact"/>
        <w:rPr>
          <w:szCs w:val="24"/>
        </w:rPr>
      </w:pPr>
      <w:bookmarkStart w:id="40" w:name="_Toc367870219"/>
      <w:bookmarkStart w:id="41" w:name="_Toc72163669"/>
      <w:proofErr w:type="gramStart"/>
      <w:r w:rsidRPr="008539F6">
        <w:rPr>
          <w:szCs w:val="24"/>
        </w:rPr>
        <w:lastRenderedPageBreak/>
        <w:t>B.2.5  Bezpečnost</w:t>
      </w:r>
      <w:proofErr w:type="gramEnd"/>
      <w:r w:rsidRPr="008539F6">
        <w:rPr>
          <w:szCs w:val="24"/>
        </w:rPr>
        <w:t xml:space="preserve"> při užívání stavby</w:t>
      </w:r>
      <w:bookmarkEnd w:id="40"/>
      <w:bookmarkEnd w:id="41"/>
    </w:p>
    <w:p w14:paraId="5C2285BD" w14:textId="745407E5" w:rsidR="00AB5AE0" w:rsidRPr="008539F6" w:rsidRDefault="00AB5AE0" w:rsidP="008539F6">
      <w:pPr>
        <w:pStyle w:val="Import6"/>
        <w:spacing w:before="120" w:line="250" w:lineRule="exact"/>
        <w:ind w:firstLine="567"/>
        <w:jc w:val="both"/>
        <w:rPr>
          <w:rFonts w:ascii="Times New Roman" w:hAnsi="Times New Roman"/>
          <w:szCs w:val="24"/>
        </w:rPr>
      </w:pPr>
      <w:r w:rsidRPr="008539F6">
        <w:rPr>
          <w:rFonts w:ascii="Times New Roman" w:hAnsi="Times New Roman"/>
          <w:szCs w:val="24"/>
        </w:rPr>
        <w:t xml:space="preserve">Vlastní provoz </w:t>
      </w:r>
      <w:r w:rsidR="00B33E8A">
        <w:rPr>
          <w:rFonts w:ascii="Times New Roman" w:hAnsi="Times New Roman"/>
          <w:szCs w:val="24"/>
        </w:rPr>
        <w:t>plynové kotelny bude</w:t>
      </w:r>
      <w:r w:rsidRPr="008539F6">
        <w:rPr>
          <w:rFonts w:ascii="Times New Roman" w:hAnsi="Times New Roman"/>
          <w:szCs w:val="24"/>
        </w:rPr>
        <w:t xml:space="preserve"> bezobslužný, plně automatický.</w:t>
      </w:r>
    </w:p>
    <w:p w14:paraId="33718478" w14:textId="77777777" w:rsidR="00AB5AE0" w:rsidRPr="008539F6" w:rsidRDefault="00AB5AE0" w:rsidP="008539F6">
      <w:pPr>
        <w:tabs>
          <w:tab w:val="left" w:pos="567"/>
        </w:tabs>
        <w:spacing w:line="25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Bezpečnost práce při provádění stavební činnosti bude zajištěna v souladu s bezpečnostními předpisy a doprovodnými vyhláškami. Na stavbě musí být dodržováno v celém rozsahu nařízení vlády 591/2006 Sb. o požadavcích na bezpečnost a ochranu zdraví při práci na staveništích a zákon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práci). </w:t>
      </w:r>
    </w:p>
    <w:p w14:paraId="24F3BD26" w14:textId="77777777" w:rsidR="00AB5AE0" w:rsidRPr="008539F6" w:rsidRDefault="00AB5AE0" w:rsidP="008539F6">
      <w:pPr>
        <w:tabs>
          <w:tab w:val="left" w:pos="567"/>
        </w:tabs>
        <w:spacing w:line="25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>Veškeré práce mohou vykonávat pouze náležitě vyškolené a poučené osoby s příslušným oprávněním k výkonu jednotlivých činností.</w:t>
      </w:r>
    </w:p>
    <w:p w14:paraId="35AC0E35" w14:textId="77777777" w:rsidR="00AB5AE0" w:rsidRPr="008539F6" w:rsidRDefault="00AB5AE0" w:rsidP="008539F6">
      <w:pPr>
        <w:tabs>
          <w:tab w:val="left" w:pos="567"/>
        </w:tabs>
        <w:spacing w:line="25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Provozovatel musí zajistit možnost bezpečného použití svařovacích agregátů. Dále je povinen provést vyškolení montážních pracovníků o bezpečnosti při montážních pracích prováděných ve stávajícím zařízení, které je v provozu. </w:t>
      </w:r>
    </w:p>
    <w:p w14:paraId="24A9D1F6" w14:textId="77777777" w:rsidR="00AB5AE0" w:rsidRPr="008539F6" w:rsidRDefault="00AB5AE0" w:rsidP="008539F6">
      <w:pPr>
        <w:tabs>
          <w:tab w:val="left" w:pos="567"/>
        </w:tabs>
        <w:spacing w:line="25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>Nebezpečí mechanických úrazů musí být předcházeno především dodržováním provozních předpisů, odbornou způsobilostí zaměstnanců a respektováním všech bezpečnostních předpisů a jejich kontrolováním ze strany zaměstnavatele.</w:t>
      </w:r>
    </w:p>
    <w:p w14:paraId="21E88184" w14:textId="77777777" w:rsidR="00AB5AE0" w:rsidRPr="008539F6" w:rsidRDefault="00AB5AE0" w:rsidP="008539F6">
      <w:pPr>
        <w:tabs>
          <w:tab w:val="left" w:pos="567"/>
        </w:tabs>
        <w:spacing w:line="25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>Při provádění všech prací musí být přítomen trvalý odborný dozor dodavatelské firmy, který bude tyto práce řídit.</w:t>
      </w:r>
    </w:p>
    <w:p w14:paraId="6FBD72CD" w14:textId="77777777" w:rsidR="00AB5AE0" w:rsidRPr="008539F6" w:rsidRDefault="00AB5AE0" w:rsidP="008539F6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</w:p>
    <w:p w14:paraId="51EA181C" w14:textId="77777777" w:rsidR="00AB5AE0" w:rsidRPr="008539F6" w:rsidRDefault="00AB5AE0" w:rsidP="008539F6">
      <w:pPr>
        <w:pStyle w:val="Nadpis1"/>
        <w:spacing w:line="260" w:lineRule="exact"/>
        <w:rPr>
          <w:szCs w:val="24"/>
        </w:rPr>
      </w:pPr>
      <w:bookmarkStart w:id="42" w:name="_Toc367870220"/>
      <w:bookmarkStart w:id="43" w:name="_Toc72163670"/>
      <w:proofErr w:type="gramStart"/>
      <w:r w:rsidRPr="008539F6">
        <w:rPr>
          <w:szCs w:val="24"/>
        </w:rPr>
        <w:t>B.2.6  Základní</w:t>
      </w:r>
      <w:proofErr w:type="gramEnd"/>
      <w:r w:rsidRPr="008539F6">
        <w:rPr>
          <w:szCs w:val="24"/>
        </w:rPr>
        <w:t xml:space="preserve"> charakteristika objektů</w:t>
      </w:r>
      <w:bookmarkEnd w:id="42"/>
      <w:bookmarkEnd w:id="43"/>
    </w:p>
    <w:p w14:paraId="1CABCAE8" w14:textId="77777777" w:rsidR="00AB5AE0" w:rsidRPr="008539F6" w:rsidRDefault="00AB5AE0" w:rsidP="008539F6">
      <w:pPr>
        <w:pStyle w:val="Nadpis2"/>
        <w:spacing w:before="160" w:line="260" w:lineRule="exact"/>
      </w:pPr>
      <w:bookmarkStart w:id="44" w:name="_Toc367870221"/>
      <w:bookmarkStart w:id="45" w:name="_Toc72163671"/>
      <w:r w:rsidRPr="008539F6">
        <w:t>a)</w:t>
      </w:r>
      <w:r w:rsidR="00372F7E" w:rsidRPr="008539F6">
        <w:t xml:space="preserve"> </w:t>
      </w:r>
      <w:r w:rsidRPr="008539F6">
        <w:t>stavební řešení</w:t>
      </w:r>
      <w:bookmarkEnd w:id="44"/>
      <w:bookmarkEnd w:id="45"/>
    </w:p>
    <w:p w14:paraId="0593ECDE" w14:textId="2C20E00B" w:rsidR="00AB5AE0" w:rsidRPr="008539F6" w:rsidRDefault="00AB5AE0" w:rsidP="008539F6">
      <w:pPr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V rámci projektu jsou řešeny převážně </w:t>
      </w:r>
      <w:r w:rsidR="00213D93" w:rsidRPr="008539F6">
        <w:rPr>
          <w:sz w:val="24"/>
          <w:szCs w:val="24"/>
        </w:rPr>
        <w:t xml:space="preserve">drobné </w:t>
      </w:r>
      <w:r w:rsidR="00B33E8A">
        <w:rPr>
          <w:sz w:val="24"/>
          <w:szCs w:val="24"/>
        </w:rPr>
        <w:t>stavební práce.</w:t>
      </w:r>
      <w:r w:rsidR="00F97D35" w:rsidRPr="008539F6">
        <w:rPr>
          <w:sz w:val="24"/>
          <w:szCs w:val="24"/>
        </w:rPr>
        <w:t xml:space="preserve"> Po výměně </w:t>
      </w:r>
      <w:r w:rsidR="00B33E8A">
        <w:rPr>
          <w:sz w:val="24"/>
          <w:szCs w:val="24"/>
        </w:rPr>
        <w:t>větrací mřížky a stěnové mřížky budou stavební otvory zahlazeny a zatištěny (omítky a výmalby - bílá barva)</w:t>
      </w:r>
      <w:r w:rsidRPr="008539F6">
        <w:rPr>
          <w:sz w:val="24"/>
          <w:szCs w:val="24"/>
        </w:rPr>
        <w:t xml:space="preserve">. </w:t>
      </w:r>
    </w:p>
    <w:p w14:paraId="16F2B82C" w14:textId="77777777" w:rsidR="00AB5AE0" w:rsidRPr="008539F6" w:rsidRDefault="00AB5AE0" w:rsidP="008539F6">
      <w:pPr>
        <w:pStyle w:val="Nadpis2"/>
        <w:spacing w:before="160" w:line="260" w:lineRule="exact"/>
      </w:pPr>
      <w:bookmarkStart w:id="46" w:name="_Toc367870222"/>
      <w:bookmarkStart w:id="47" w:name="_Toc72163672"/>
      <w:r w:rsidRPr="008539F6">
        <w:t>b)</w:t>
      </w:r>
      <w:r w:rsidR="00372F7E" w:rsidRPr="008539F6">
        <w:t xml:space="preserve"> </w:t>
      </w:r>
      <w:r w:rsidRPr="008539F6">
        <w:t>konstrukční a materiálové řešení</w:t>
      </w:r>
      <w:bookmarkEnd w:id="46"/>
      <w:bookmarkEnd w:id="47"/>
    </w:p>
    <w:p w14:paraId="0D3CB53E" w14:textId="77777777" w:rsidR="00B33E8A" w:rsidRPr="00B33E8A" w:rsidRDefault="00B33E8A" w:rsidP="00B33E8A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B33E8A">
        <w:rPr>
          <w:sz w:val="24"/>
          <w:szCs w:val="24"/>
        </w:rPr>
        <w:t xml:space="preserve">Do stávající místnosti plynové kotelny budou osazeny dva plynové kotle vedle sebe vč. expanzního automatu, úpravny vody, neutralizace, nového rozdělovače a sběrače, na který budou napojeny dva stávající topné okruhy vytápění (topný okruh 1 - teplovodní tělesa, topný okruh 2 - vzduchotechnika). </w:t>
      </w:r>
    </w:p>
    <w:p w14:paraId="6D01B57B" w14:textId="77777777" w:rsidR="00B33E8A" w:rsidRPr="00B33E8A" w:rsidRDefault="00B33E8A" w:rsidP="00B33E8A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B33E8A">
        <w:rPr>
          <w:sz w:val="24"/>
          <w:szCs w:val="24"/>
        </w:rPr>
        <w:t xml:space="preserve">Do stávající místnosti plynové kotelny bude instalován zásobníkový ohřívač s topným registrem vč. expanzní membránové nádoby, na který bude napojen stávající rozvody studené vody, teplé vody a cirkulace.  </w:t>
      </w:r>
    </w:p>
    <w:p w14:paraId="759C2518" w14:textId="77777777" w:rsidR="00B33E8A" w:rsidRPr="00B33E8A" w:rsidRDefault="00B33E8A" w:rsidP="00B33E8A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B33E8A">
        <w:rPr>
          <w:sz w:val="24"/>
          <w:szCs w:val="24"/>
        </w:rPr>
        <w:t>Pro vytápění objektu i přípravu teplé vody budou osazeny dva teplovodní plynové kondenzační kotle o celkovém výkonu 2 x 100 kW (50/</w:t>
      </w:r>
      <w:proofErr w:type="gramStart"/>
      <w:r w:rsidRPr="00B33E8A">
        <w:rPr>
          <w:sz w:val="24"/>
          <w:szCs w:val="24"/>
        </w:rPr>
        <w:t>30°C</w:t>
      </w:r>
      <w:proofErr w:type="gramEnd"/>
      <w:r w:rsidRPr="00B33E8A">
        <w:rPr>
          <w:sz w:val="24"/>
          <w:szCs w:val="24"/>
        </w:rPr>
        <w:t xml:space="preserve">), 2 x 93 (/80/60°C). Po uvedení kotlů do provozu bude teplá voda připravována v nepřímotopném zásobníkovém ohřívači o objemu 500 litrů. </w:t>
      </w:r>
    </w:p>
    <w:p w14:paraId="0247FBD7" w14:textId="77777777" w:rsidR="00B33E8A" w:rsidRPr="00B33E8A" w:rsidRDefault="00B33E8A" w:rsidP="00B33E8A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B33E8A">
        <w:rPr>
          <w:sz w:val="24"/>
          <w:szCs w:val="24"/>
        </w:rPr>
        <w:t xml:space="preserve">Odkouření plynových kondenzačních kotlů bude společné a bude napojeno na novou plastovou vložkou DN160 umístěnou ve stávajícím komínovém tělese (rozměr 240x240 mm). </w:t>
      </w:r>
    </w:p>
    <w:p w14:paraId="691567FB" w14:textId="77777777" w:rsidR="00B33E8A" w:rsidRDefault="00B33E8A" w:rsidP="00B33E8A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B33E8A">
        <w:rPr>
          <w:sz w:val="24"/>
          <w:szCs w:val="24"/>
        </w:rPr>
        <w:t xml:space="preserve">Kotelna je navržena dle ČSN 07 0703 a </w:t>
      </w:r>
      <w:proofErr w:type="spellStart"/>
      <w:r w:rsidRPr="00B33E8A">
        <w:rPr>
          <w:sz w:val="24"/>
          <w:szCs w:val="24"/>
        </w:rPr>
        <w:t>vyhl</w:t>
      </w:r>
      <w:proofErr w:type="spellEnd"/>
      <w:r w:rsidRPr="00B33E8A">
        <w:rPr>
          <w:sz w:val="24"/>
          <w:szCs w:val="24"/>
        </w:rPr>
        <w:t>. 91/93 Sb., s instalovaným výkonem kotlů 160 kW - spadá do III. kategorie.</w:t>
      </w:r>
    </w:p>
    <w:p w14:paraId="5C375894" w14:textId="7C883234" w:rsidR="00F97D35" w:rsidRPr="008539F6" w:rsidRDefault="00F97D35" w:rsidP="00B33E8A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Při </w:t>
      </w:r>
      <w:r w:rsidR="002655B1">
        <w:rPr>
          <w:sz w:val="24"/>
          <w:szCs w:val="24"/>
        </w:rPr>
        <w:t>v</w:t>
      </w:r>
      <w:r w:rsidR="00F561DA">
        <w:rPr>
          <w:sz w:val="24"/>
          <w:szCs w:val="24"/>
        </w:rPr>
        <w:t>ý</w:t>
      </w:r>
      <w:r w:rsidR="002655B1">
        <w:rPr>
          <w:sz w:val="24"/>
          <w:szCs w:val="24"/>
        </w:rPr>
        <w:t>měně</w:t>
      </w:r>
      <w:r w:rsidRPr="008539F6">
        <w:rPr>
          <w:sz w:val="24"/>
          <w:szCs w:val="24"/>
        </w:rPr>
        <w:t xml:space="preserve"> rozvodů t</w:t>
      </w:r>
      <w:r w:rsidR="00A715A0" w:rsidRPr="008539F6">
        <w:rPr>
          <w:sz w:val="24"/>
          <w:szCs w:val="24"/>
        </w:rPr>
        <w:t xml:space="preserve">opné vody bude použito klasické ocelové potrubí s izolací. </w:t>
      </w:r>
    </w:p>
    <w:p w14:paraId="78903A4F" w14:textId="7BD3A615" w:rsidR="009C0F35" w:rsidRPr="008539F6" w:rsidRDefault="00AB5AE0" w:rsidP="00B33E8A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>Při rekonstrukci rozvodů teplé vody</w:t>
      </w:r>
      <w:r w:rsidR="00DD237B" w:rsidRPr="008539F6">
        <w:rPr>
          <w:sz w:val="24"/>
          <w:szCs w:val="24"/>
        </w:rPr>
        <w:t xml:space="preserve"> (T)</w:t>
      </w:r>
      <w:r w:rsidRPr="008539F6">
        <w:rPr>
          <w:sz w:val="24"/>
          <w:szCs w:val="24"/>
        </w:rPr>
        <w:t xml:space="preserve"> a cirkulace </w:t>
      </w:r>
      <w:r w:rsidR="00DD237B" w:rsidRPr="008539F6">
        <w:rPr>
          <w:sz w:val="24"/>
          <w:szCs w:val="24"/>
        </w:rPr>
        <w:t xml:space="preserve">(C) bude použito </w:t>
      </w:r>
      <w:r w:rsidR="00A715A0" w:rsidRPr="008539F6">
        <w:rPr>
          <w:sz w:val="24"/>
          <w:szCs w:val="24"/>
        </w:rPr>
        <w:t xml:space="preserve">plastové </w:t>
      </w:r>
      <w:r w:rsidR="009C0F35" w:rsidRPr="008539F6">
        <w:rPr>
          <w:sz w:val="24"/>
          <w:szCs w:val="24"/>
        </w:rPr>
        <w:t>PPR (polypropylen) potrubí s izolací - minerální vlna.</w:t>
      </w:r>
      <w:r w:rsidR="00A715A0" w:rsidRPr="008539F6">
        <w:rPr>
          <w:sz w:val="24"/>
          <w:szCs w:val="24"/>
        </w:rPr>
        <w:t xml:space="preserve"> </w:t>
      </w:r>
    </w:p>
    <w:p w14:paraId="78EE00AF" w14:textId="77777777" w:rsidR="00756EC1" w:rsidRDefault="009C0F35" w:rsidP="008539F6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Tepelná </w:t>
      </w:r>
      <w:r w:rsidR="00AB5AE0" w:rsidRPr="008539F6">
        <w:rPr>
          <w:sz w:val="24"/>
          <w:szCs w:val="24"/>
        </w:rPr>
        <w:t xml:space="preserve">izolace </w:t>
      </w:r>
      <w:r w:rsidRPr="008539F6">
        <w:rPr>
          <w:sz w:val="24"/>
          <w:szCs w:val="24"/>
        </w:rPr>
        <w:t xml:space="preserve">bude </w:t>
      </w:r>
      <w:r w:rsidR="00AB5AE0" w:rsidRPr="008539F6">
        <w:rPr>
          <w:sz w:val="24"/>
          <w:szCs w:val="24"/>
        </w:rPr>
        <w:t>z minerální vaty s</w:t>
      </w:r>
      <w:r w:rsidR="0062025B" w:rsidRPr="008539F6">
        <w:rPr>
          <w:sz w:val="24"/>
          <w:szCs w:val="24"/>
        </w:rPr>
        <w:t> minimální objemovou hmotností 80 kg/m</w:t>
      </w:r>
      <w:r w:rsidR="0062025B" w:rsidRPr="008539F6">
        <w:rPr>
          <w:sz w:val="24"/>
          <w:szCs w:val="24"/>
          <w:vertAlign w:val="superscript"/>
        </w:rPr>
        <w:t>3</w:t>
      </w:r>
      <w:r w:rsidR="0062025B" w:rsidRPr="008539F6">
        <w:rPr>
          <w:sz w:val="24"/>
          <w:szCs w:val="24"/>
        </w:rPr>
        <w:t xml:space="preserve">. Finální úprava tepelné izolace bude provedena vyztuženou fólií pro povrchovou úpravu průmyslových izolací. Vázací drát bude s žárově zinkovanou úpravou v min. </w:t>
      </w:r>
      <w:proofErr w:type="spellStart"/>
      <w:r w:rsidR="0062025B" w:rsidRPr="008539F6">
        <w:rPr>
          <w:sz w:val="24"/>
          <w:szCs w:val="24"/>
        </w:rPr>
        <w:t>tl</w:t>
      </w:r>
      <w:proofErr w:type="spellEnd"/>
      <w:r w:rsidR="0062025B" w:rsidRPr="008539F6">
        <w:rPr>
          <w:sz w:val="24"/>
          <w:szCs w:val="24"/>
        </w:rPr>
        <w:t xml:space="preserve">. 0,8 mm. </w:t>
      </w:r>
      <w:r w:rsidR="00AB5AE0" w:rsidRPr="008539F6">
        <w:rPr>
          <w:sz w:val="24"/>
          <w:szCs w:val="24"/>
        </w:rPr>
        <w:t xml:space="preserve"> </w:t>
      </w:r>
    </w:p>
    <w:p w14:paraId="5019F018" w14:textId="24A8C082" w:rsidR="00AB5AE0" w:rsidRPr="008539F6" w:rsidRDefault="00AB5AE0" w:rsidP="008539F6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Armatury pro teplou vodu a cirkulaci budou použity s atestem pro styk s pitnou vodou dle vyhlášky 409/2005 Sb. </w:t>
      </w:r>
    </w:p>
    <w:p w14:paraId="0E1CAB41" w14:textId="77777777" w:rsidR="00AB5AE0" w:rsidRPr="008539F6" w:rsidRDefault="00372F7E" w:rsidP="008539F6">
      <w:pPr>
        <w:pStyle w:val="Nadpis2"/>
        <w:spacing w:before="160" w:line="260" w:lineRule="exact"/>
      </w:pPr>
      <w:bookmarkStart w:id="48" w:name="_Toc367870223"/>
      <w:bookmarkStart w:id="49" w:name="_Toc72163673"/>
      <w:r w:rsidRPr="008539F6">
        <w:t>c</w:t>
      </w:r>
      <w:r w:rsidR="00AB5AE0" w:rsidRPr="008539F6">
        <w:t>)</w:t>
      </w:r>
      <w:r w:rsidRPr="008539F6">
        <w:t xml:space="preserve"> </w:t>
      </w:r>
      <w:r w:rsidR="00AB5AE0" w:rsidRPr="008539F6">
        <w:t>mechanická odolnost a stabilita</w:t>
      </w:r>
      <w:bookmarkEnd w:id="48"/>
      <w:bookmarkEnd w:id="49"/>
    </w:p>
    <w:p w14:paraId="5AB640BA" w14:textId="77777777" w:rsidR="002655B1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Stavba je navržena a musí být provedena v souladu s normovými hodnotami tak, aby účinky zatížení a nepříznivé vlivy prostředí, kterým je vystavena během výstavby a užívání při řádně prováděné běžné údržbě, nemohly způsobit náhlé nebo postupné zřícení, popřípadě jiné destruktivní poškození kterékoliv její části nebo přilehlé stavby</w:t>
      </w:r>
      <w:r w:rsidR="002655B1">
        <w:rPr>
          <w:bCs/>
          <w:sz w:val="24"/>
          <w:szCs w:val="24"/>
        </w:rPr>
        <w:t>.</w:t>
      </w:r>
    </w:p>
    <w:p w14:paraId="7CE28A9E" w14:textId="0AD51E41" w:rsidR="00AB5AE0" w:rsidRPr="008539F6" w:rsidRDefault="002655B1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D</w:t>
      </w:r>
      <w:r w:rsidR="00AB5AE0" w:rsidRPr="008539F6">
        <w:rPr>
          <w:bCs/>
          <w:sz w:val="24"/>
          <w:szCs w:val="24"/>
        </w:rPr>
        <w:t>ále se nesmí projevit nepřípustné přetvoření nebo kmitání konstrukce, které může narušit stabilitu stavby, mechanickou odolnost a funkční způsobilost stavby nebo její části, nebo které vede ke snížení trvanlivosti stavby.</w:t>
      </w:r>
    </w:p>
    <w:p w14:paraId="19ECBD79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Po dokončení stavby nesmí dojít k poškození nebo ohrožení provozuschopnosti připojených technických zařízení v důsledku deformace nosné konstrukce, nesmí dojít k ohrožení provozuschopnosti pozemních komunikací a drah v dosahu stavby a ohrožení bezpečnosti a plynulosti provozu na komunikaci a dráze přiléhající ke staveništi.</w:t>
      </w:r>
    </w:p>
    <w:p w14:paraId="2A2D77FE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Tyto podmínky jsou zajištěny dodržením této projektové dokumentace, dodržením stavebního zákona v jeho platném znění, dodržením všech prováděcích vyhlášek stavebního zákona v platném znění, dodržením technologických postupů všech výrobců stavebních materiálů a výrobků a dodržením všech platných zákonů a ČSN majících vztah ke stavbě.</w:t>
      </w:r>
    </w:p>
    <w:p w14:paraId="2D61051F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U staveb sloužících k zajištění zásobování odběratelů energií a dalších vybraných staveb, jejichž vlastnosti nemohou budoucí uživatelé ovlivnit, musí být konstrukce navrženy a provedeny tak, aby nedošlo k nepředvídanému trvalému ani dočasnému ohrožení provozuschopnosti stavby jako celku. Tyto podmínky jsou zajištěny dodržením této projektové dokumentace, dodržením stavebního zákona v jeho platném znění, dodržením všech prováděcích vyhlášek stavebního zákona v platném znění, dodržením technologických postupů všech výrobců stavebních materiálů a výrobků a dodržením všech platných zákonů a ČSN majících vztah ke stavbě.</w:t>
      </w:r>
    </w:p>
    <w:p w14:paraId="7E0E326D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Stavební konstrukce a stavební prvky musí být navrženy a provedeny v souladu s normovými hodnotami tak, aby po dobu plánované životnosti stavby vyhověly požadovanému účelu a odolaly všem účinkům zatížení a nepříznivým vlivům prostředí, a to i předvídatelným mimořádným zatížením, která se mohou běžně vyskytnout při provádění i užívání stavby. Tyto podmínky jsou zajištěny dodržením této projektové dokumentace, dodržením stavebního zákona v jeho platném znění, dodržením všech prováděcích vyhlášek stavebního zákona v platném znění, dodržením technologických postupů všech výrobců stavebních materiálů a výrobků a dodržením všech platných zákonů a ČSN majících vztah ke stavbě.</w:t>
      </w:r>
    </w:p>
    <w:p w14:paraId="01B17A56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</w:p>
    <w:p w14:paraId="10AED6BD" w14:textId="77777777" w:rsidR="00AB5AE0" w:rsidRPr="008539F6" w:rsidRDefault="00AB5AE0" w:rsidP="008539F6">
      <w:pPr>
        <w:pStyle w:val="Nadpis1"/>
        <w:spacing w:line="260" w:lineRule="exact"/>
        <w:rPr>
          <w:szCs w:val="24"/>
        </w:rPr>
      </w:pPr>
      <w:bookmarkStart w:id="50" w:name="_Toc367870224"/>
      <w:bookmarkStart w:id="51" w:name="_Toc72163674"/>
      <w:proofErr w:type="gramStart"/>
      <w:r w:rsidRPr="008539F6">
        <w:rPr>
          <w:szCs w:val="24"/>
        </w:rPr>
        <w:t>B.2.7  Základní</w:t>
      </w:r>
      <w:proofErr w:type="gramEnd"/>
      <w:r w:rsidRPr="008539F6">
        <w:rPr>
          <w:szCs w:val="24"/>
        </w:rPr>
        <w:t xml:space="preserve"> charakteristika technických a technologických zařízení</w:t>
      </w:r>
      <w:bookmarkEnd w:id="50"/>
      <w:bookmarkEnd w:id="51"/>
    </w:p>
    <w:p w14:paraId="1E70CB8F" w14:textId="77777777" w:rsidR="00AB5AE0" w:rsidRPr="008539F6" w:rsidRDefault="00AB5AE0" w:rsidP="008539F6">
      <w:pPr>
        <w:pStyle w:val="Nadpis2"/>
        <w:spacing w:line="260" w:lineRule="exact"/>
      </w:pPr>
      <w:bookmarkStart w:id="52" w:name="_Toc367870225"/>
      <w:bookmarkStart w:id="53" w:name="_Toc72163675"/>
      <w:r w:rsidRPr="008539F6">
        <w:t>a)</w:t>
      </w:r>
      <w:r w:rsidR="00372F7E" w:rsidRPr="008539F6">
        <w:t xml:space="preserve"> </w:t>
      </w:r>
      <w:r w:rsidRPr="008539F6">
        <w:t>technické řešení</w:t>
      </w:r>
      <w:bookmarkEnd w:id="52"/>
      <w:bookmarkEnd w:id="53"/>
    </w:p>
    <w:p w14:paraId="3B73FC62" w14:textId="1709F980" w:rsidR="00756EC1" w:rsidRPr="00756EC1" w:rsidRDefault="00756EC1" w:rsidP="00756EC1">
      <w:pPr>
        <w:tabs>
          <w:tab w:val="left" w:pos="0"/>
          <w:tab w:val="left" w:pos="567"/>
        </w:tabs>
        <w:spacing w:before="120" w:line="260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Pr="00756EC1">
        <w:rPr>
          <w:sz w:val="24"/>
          <w:szCs w:val="24"/>
        </w:rPr>
        <w:t xml:space="preserve">ako zdroj topné vody pro vytápění i ohřev teplé vody </w:t>
      </w:r>
      <w:r>
        <w:rPr>
          <w:sz w:val="24"/>
          <w:szCs w:val="24"/>
        </w:rPr>
        <w:t xml:space="preserve">jsou </w:t>
      </w:r>
      <w:r w:rsidRPr="00756EC1">
        <w:rPr>
          <w:sz w:val="24"/>
          <w:szCs w:val="24"/>
        </w:rPr>
        <w:t>navrženy nové dva stacionární plynové kondenzační kotle o jmenovitém výkonu 17,2-100 kW (teplotní spád 50/30 °C), 15,5-93 kW (80/</w:t>
      </w:r>
      <w:proofErr w:type="gramStart"/>
      <w:r w:rsidRPr="00756EC1">
        <w:rPr>
          <w:sz w:val="24"/>
          <w:szCs w:val="24"/>
        </w:rPr>
        <w:t>60°C</w:t>
      </w:r>
      <w:proofErr w:type="gramEnd"/>
      <w:r w:rsidRPr="00756EC1">
        <w:rPr>
          <w:sz w:val="24"/>
          <w:szCs w:val="24"/>
        </w:rPr>
        <w:t>). Celkový jmenovitý tepelný výkon plynové kotelny je 186 kW. Dle ČSN 07 0703 se jedná o kotelnu III. Kategorie. Kotle budou zapojeny do kaskády a budou vybaveny uzavíracími klapkami s pohonem. Dva kondenzační plynové kotle budou společně napojeny na plastový systém odvodu spalin DN160. Plastová komínová vložka DN160 sestavená z trubek DN160 – 1000 mm budou vedena v komínovém tělese (240x240 mm) uvnitř objektu a bude vyvedena nad střechu objektu (H=cca 11 m). Na vstupu plynu do kotle budou osazeny plynový filtr G3/4“ a plynový kohout G3/4“ (dodávka kotlové technologie).</w:t>
      </w:r>
    </w:p>
    <w:p w14:paraId="6BA61C08" w14:textId="77777777" w:rsidR="00756EC1" w:rsidRPr="00756EC1" w:rsidRDefault="00756EC1" w:rsidP="00756EC1">
      <w:pPr>
        <w:tabs>
          <w:tab w:val="left" w:pos="0"/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756EC1">
        <w:rPr>
          <w:sz w:val="24"/>
          <w:szCs w:val="24"/>
        </w:rPr>
        <w:t xml:space="preserve">Připojovací tlak plynu bude 17-25 mbar (1,7/2,5 </w:t>
      </w:r>
      <w:proofErr w:type="spellStart"/>
      <w:r w:rsidRPr="00756EC1">
        <w:rPr>
          <w:sz w:val="24"/>
          <w:szCs w:val="24"/>
        </w:rPr>
        <w:t>kPa</w:t>
      </w:r>
      <w:proofErr w:type="spellEnd"/>
      <w:r w:rsidRPr="00756EC1">
        <w:rPr>
          <w:sz w:val="24"/>
          <w:szCs w:val="24"/>
        </w:rPr>
        <w:t xml:space="preserve">), max. přípustný připojovací tlak plynu je 25 mbar (2,5 </w:t>
      </w:r>
      <w:proofErr w:type="spellStart"/>
      <w:r w:rsidRPr="00756EC1">
        <w:rPr>
          <w:sz w:val="24"/>
          <w:szCs w:val="24"/>
        </w:rPr>
        <w:t>kPa</w:t>
      </w:r>
      <w:proofErr w:type="spellEnd"/>
      <w:r w:rsidRPr="00756EC1">
        <w:rPr>
          <w:sz w:val="24"/>
          <w:szCs w:val="24"/>
        </w:rPr>
        <w:t xml:space="preserve">). </w:t>
      </w:r>
    </w:p>
    <w:p w14:paraId="5E8E5657" w14:textId="77777777" w:rsidR="00756EC1" w:rsidRPr="00756EC1" w:rsidRDefault="00756EC1" w:rsidP="00756EC1">
      <w:pPr>
        <w:tabs>
          <w:tab w:val="left" w:pos="0"/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756EC1">
        <w:rPr>
          <w:sz w:val="24"/>
          <w:szCs w:val="24"/>
        </w:rPr>
        <w:t xml:space="preserve">Stacionární plynový kondenzační kotel je vybaven výkonným výměníkem tepla z kvalitní slitiny hliníku a křemíku, který dosahuje vysoký normovaný stupeň využití (až </w:t>
      </w:r>
      <w:proofErr w:type="gramStart"/>
      <w:r w:rsidRPr="00756EC1">
        <w:rPr>
          <w:sz w:val="24"/>
          <w:szCs w:val="24"/>
        </w:rPr>
        <w:t>106,5%</w:t>
      </w:r>
      <w:proofErr w:type="gramEnd"/>
      <w:r w:rsidRPr="00756EC1">
        <w:rPr>
          <w:sz w:val="24"/>
          <w:szCs w:val="24"/>
        </w:rPr>
        <w:t xml:space="preserve">, při teplotním spádu 75/60°C). </w:t>
      </w:r>
    </w:p>
    <w:p w14:paraId="15933621" w14:textId="77777777" w:rsidR="00756EC1" w:rsidRPr="00756EC1" w:rsidRDefault="00756EC1" w:rsidP="00756EC1">
      <w:pPr>
        <w:tabs>
          <w:tab w:val="left" w:pos="0"/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756EC1">
        <w:rPr>
          <w:sz w:val="24"/>
          <w:szCs w:val="24"/>
        </w:rPr>
        <w:t>Kotle i hořák tvoří jeden celek. Kotle budou řešeny jako plynové spotřebiče typu B, tj. přívod spalovacího vzduchu bude z prostoru kotelny. Větrání kotelny bude zajišťovat pouze 1/</w:t>
      </w:r>
      <w:proofErr w:type="gramStart"/>
      <w:r w:rsidRPr="00756EC1">
        <w:rPr>
          <w:sz w:val="24"/>
          <w:szCs w:val="24"/>
        </w:rPr>
        <w:t>2 násobnou</w:t>
      </w:r>
      <w:proofErr w:type="gramEnd"/>
      <w:r w:rsidRPr="00756EC1">
        <w:rPr>
          <w:sz w:val="24"/>
          <w:szCs w:val="24"/>
        </w:rPr>
        <w:t xml:space="preserve"> výměnu vzduchu dle TPG. Kotle budou vybaveny neutralizačním zařízením. Otvor pro jednoduchou kontrolu a možnost čištění je vždy zpředu kotle. Kotle budou vybaveny pojistným ventilem, manometrem (0-600 </w:t>
      </w:r>
      <w:proofErr w:type="spellStart"/>
      <w:r w:rsidRPr="00756EC1">
        <w:rPr>
          <w:sz w:val="24"/>
          <w:szCs w:val="24"/>
        </w:rPr>
        <w:t>kPa</w:t>
      </w:r>
      <w:proofErr w:type="spellEnd"/>
      <w:r w:rsidRPr="00756EC1">
        <w:rPr>
          <w:sz w:val="24"/>
          <w:szCs w:val="24"/>
        </w:rPr>
        <w:t>) a vypouštěcí armaturou DN25.</w:t>
      </w:r>
    </w:p>
    <w:p w14:paraId="4B904064" w14:textId="77777777" w:rsidR="00756EC1" w:rsidRPr="00756EC1" w:rsidRDefault="00756EC1" w:rsidP="00756EC1">
      <w:pPr>
        <w:tabs>
          <w:tab w:val="left" w:pos="0"/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756EC1">
        <w:rPr>
          <w:sz w:val="24"/>
          <w:szCs w:val="24"/>
        </w:rPr>
        <w:t>Ohřev teplé užitkové vody bude zajišťovat nepřímotopný zásobníkový ohřívač o objemu 500 litrů. Zásobník je dodáván včetně tepelné izolace a opláštění. Tento typ zásobníku má bílé provedení opláštění. Technické parametry ohřívače: trvalý výkon ohřívače je 1300 /hod při teplotě 45 °C a výkonu zdroje 50 kW, výkonové číslo NL=16. Rozměry ohřívače: průměr vč. izolace je 850 mm, výška 1870 mm, hmotnost 179 kg.</w:t>
      </w:r>
    </w:p>
    <w:p w14:paraId="01FA4983" w14:textId="5E4B8CCF" w:rsidR="00756EC1" w:rsidRPr="00756EC1" w:rsidRDefault="00756EC1" w:rsidP="00756EC1">
      <w:pPr>
        <w:tabs>
          <w:tab w:val="left" w:pos="0"/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756EC1">
        <w:rPr>
          <w:sz w:val="24"/>
          <w:szCs w:val="24"/>
        </w:rPr>
        <w:lastRenderedPageBreak/>
        <w:t>Společné potrubí topné vody DN65 od kotlů bude zavedeno (</w:t>
      </w:r>
      <w:proofErr w:type="spellStart"/>
      <w:r w:rsidRPr="00756EC1">
        <w:rPr>
          <w:sz w:val="24"/>
          <w:szCs w:val="24"/>
        </w:rPr>
        <w:t>Qmax</w:t>
      </w:r>
      <w:proofErr w:type="spellEnd"/>
      <w:r w:rsidRPr="00756EC1">
        <w:rPr>
          <w:sz w:val="24"/>
          <w:szCs w:val="24"/>
        </w:rPr>
        <w:t xml:space="preserve">=8,2 m3/hod) do nového kombinovaného rozdělovače, ze kterého budou napojeny dva stávající okruhy vytápění.  Na společném výstupu topné vody z kotlů bude vyvedena odbočka DN32 pro napojení topné vložky zásobníku teplé vody. </w:t>
      </w:r>
    </w:p>
    <w:p w14:paraId="5D8006B2" w14:textId="0BC0FC63" w:rsidR="00252108" w:rsidRDefault="00756EC1" w:rsidP="00756EC1">
      <w:pPr>
        <w:tabs>
          <w:tab w:val="left" w:pos="0"/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756EC1">
        <w:rPr>
          <w:sz w:val="24"/>
          <w:szCs w:val="24"/>
        </w:rPr>
        <w:t>Nový kombinovaný rozdělovač bude v provedení - modul 120. Na přívodu od kotlů budou umístěny uzavírací mezi přírubové klapky DN 65. Z rozdělovače a sběrače budou napojeny dva okruhy vytápění (topný okruh 1 - teplovodní tělesa, topný okruh 2 - vzduchotechnika).</w:t>
      </w:r>
    </w:p>
    <w:p w14:paraId="059F0C9A" w14:textId="41B330FC" w:rsidR="00756EC1" w:rsidRDefault="00756EC1" w:rsidP="00756EC1">
      <w:pPr>
        <w:tabs>
          <w:tab w:val="left" w:pos="0"/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</w:p>
    <w:p w14:paraId="5340A80F" w14:textId="77777777" w:rsidR="00756EC1" w:rsidRPr="00756EC1" w:rsidRDefault="00756EC1" w:rsidP="00756EC1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756EC1">
        <w:rPr>
          <w:sz w:val="24"/>
          <w:szCs w:val="24"/>
        </w:rPr>
        <w:t xml:space="preserve">Z nového kombinovaného rozdělovače - sběrače budou napojeny stávající okruhy: </w:t>
      </w:r>
    </w:p>
    <w:p w14:paraId="727C251B" w14:textId="77777777" w:rsidR="00756EC1" w:rsidRPr="00756EC1" w:rsidRDefault="00756EC1" w:rsidP="00756EC1">
      <w:pPr>
        <w:tabs>
          <w:tab w:val="left" w:pos="1134"/>
          <w:tab w:val="left" w:pos="5103"/>
          <w:tab w:val="left" w:pos="5812"/>
          <w:tab w:val="left" w:pos="6096"/>
        </w:tabs>
        <w:spacing w:before="120" w:line="260" w:lineRule="exact"/>
        <w:ind w:firstLine="567"/>
        <w:jc w:val="both"/>
        <w:rPr>
          <w:color w:val="000000"/>
          <w:sz w:val="24"/>
          <w:szCs w:val="24"/>
        </w:rPr>
      </w:pPr>
      <w:r w:rsidRPr="00756EC1">
        <w:rPr>
          <w:b/>
          <w:color w:val="000000"/>
          <w:sz w:val="24"/>
          <w:szCs w:val="24"/>
        </w:rPr>
        <w:t>okruh vytápění 1 - teplovodní tělesa (celý objekt MŠ)</w:t>
      </w:r>
    </w:p>
    <w:p w14:paraId="1FA87EF6" w14:textId="77777777" w:rsidR="00756EC1" w:rsidRPr="00756EC1" w:rsidRDefault="00756EC1" w:rsidP="00756EC1">
      <w:pPr>
        <w:tabs>
          <w:tab w:val="left" w:pos="1134"/>
          <w:tab w:val="left" w:pos="5103"/>
          <w:tab w:val="left" w:pos="5812"/>
          <w:tab w:val="left" w:pos="6096"/>
        </w:tabs>
        <w:spacing w:before="60" w:line="260" w:lineRule="exact"/>
        <w:ind w:firstLine="567"/>
        <w:jc w:val="both"/>
        <w:rPr>
          <w:color w:val="000000"/>
          <w:sz w:val="24"/>
          <w:szCs w:val="24"/>
        </w:rPr>
      </w:pPr>
      <w:r w:rsidRPr="00756EC1">
        <w:rPr>
          <w:color w:val="000000"/>
          <w:sz w:val="24"/>
          <w:szCs w:val="24"/>
        </w:rPr>
        <w:t>výkon vytápění</w:t>
      </w:r>
      <w:r w:rsidRPr="00756EC1">
        <w:rPr>
          <w:color w:val="000000"/>
          <w:sz w:val="24"/>
          <w:szCs w:val="24"/>
        </w:rPr>
        <w:tab/>
        <w:t>Q</w:t>
      </w:r>
      <w:r w:rsidRPr="00756EC1">
        <w:rPr>
          <w:color w:val="000000"/>
          <w:sz w:val="24"/>
          <w:szCs w:val="24"/>
          <w:vertAlign w:val="subscript"/>
        </w:rPr>
        <w:t>OKI</w:t>
      </w:r>
      <w:r w:rsidRPr="00756EC1">
        <w:rPr>
          <w:color w:val="000000"/>
          <w:sz w:val="24"/>
          <w:szCs w:val="24"/>
          <w:vertAlign w:val="subscript"/>
        </w:rPr>
        <w:tab/>
      </w:r>
      <w:r w:rsidRPr="00756EC1">
        <w:rPr>
          <w:color w:val="000000"/>
          <w:sz w:val="24"/>
          <w:szCs w:val="24"/>
        </w:rPr>
        <w:t>=</w:t>
      </w:r>
      <w:r w:rsidRPr="00756EC1">
        <w:rPr>
          <w:color w:val="000000"/>
          <w:sz w:val="24"/>
          <w:szCs w:val="24"/>
        </w:rPr>
        <w:tab/>
        <w:t>130 kW</w:t>
      </w:r>
    </w:p>
    <w:p w14:paraId="1E1B6A7A" w14:textId="77777777" w:rsidR="00756EC1" w:rsidRPr="00756EC1" w:rsidRDefault="00756EC1" w:rsidP="00756EC1">
      <w:pPr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60" w:lineRule="exact"/>
        <w:ind w:firstLine="567"/>
        <w:jc w:val="both"/>
        <w:rPr>
          <w:color w:val="000000"/>
          <w:sz w:val="24"/>
          <w:szCs w:val="24"/>
        </w:rPr>
      </w:pPr>
      <w:r w:rsidRPr="00756EC1">
        <w:rPr>
          <w:color w:val="000000"/>
          <w:sz w:val="24"/>
          <w:szCs w:val="24"/>
        </w:rPr>
        <w:t>hmotnostní průtok (80/</w:t>
      </w:r>
      <w:proofErr w:type="gramStart"/>
      <w:r w:rsidRPr="00756EC1">
        <w:rPr>
          <w:color w:val="000000"/>
          <w:sz w:val="24"/>
          <w:szCs w:val="24"/>
        </w:rPr>
        <w:t>60°C</w:t>
      </w:r>
      <w:proofErr w:type="gramEnd"/>
      <w:r w:rsidRPr="00756EC1">
        <w:rPr>
          <w:color w:val="000000"/>
          <w:sz w:val="24"/>
          <w:szCs w:val="24"/>
        </w:rPr>
        <w:t>)</w:t>
      </w:r>
      <w:r w:rsidRPr="00756EC1">
        <w:rPr>
          <w:color w:val="000000"/>
          <w:sz w:val="24"/>
          <w:szCs w:val="24"/>
        </w:rPr>
        <w:tab/>
      </w:r>
      <w:proofErr w:type="spellStart"/>
      <w:r w:rsidRPr="00756EC1">
        <w:rPr>
          <w:color w:val="000000"/>
          <w:sz w:val="24"/>
          <w:szCs w:val="24"/>
        </w:rPr>
        <w:t>m</w:t>
      </w:r>
      <w:r w:rsidRPr="00756EC1">
        <w:rPr>
          <w:color w:val="000000"/>
          <w:sz w:val="24"/>
          <w:szCs w:val="24"/>
          <w:vertAlign w:val="subscript"/>
        </w:rPr>
        <w:t>OKI</w:t>
      </w:r>
      <w:proofErr w:type="spellEnd"/>
      <w:r w:rsidRPr="00756EC1">
        <w:rPr>
          <w:color w:val="000000"/>
          <w:sz w:val="24"/>
          <w:szCs w:val="24"/>
          <w:vertAlign w:val="subscript"/>
        </w:rPr>
        <w:t xml:space="preserve"> </w:t>
      </w:r>
      <w:r w:rsidRPr="00756EC1">
        <w:rPr>
          <w:color w:val="000000"/>
          <w:sz w:val="24"/>
          <w:szCs w:val="24"/>
          <w:vertAlign w:val="subscript"/>
        </w:rPr>
        <w:tab/>
      </w:r>
      <w:r w:rsidRPr="00756EC1">
        <w:rPr>
          <w:color w:val="000000"/>
          <w:sz w:val="24"/>
          <w:szCs w:val="24"/>
        </w:rPr>
        <w:t>=</w:t>
      </w:r>
      <w:r w:rsidRPr="00756EC1">
        <w:rPr>
          <w:color w:val="000000"/>
          <w:sz w:val="24"/>
          <w:szCs w:val="24"/>
        </w:rPr>
        <w:tab/>
        <w:t>5589 kg/hod</w:t>
      </w:r>
    </w:p>
    <w:p w14:paraId="1CD08C42" w14:textId="77777777" w:rsidR="00756EC1" w:rsidRPr="00756EC1" w:rsidRDefault="00756EC1" w:rsidP="00756EC1">
      <w:pPr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60" w:lineRule="exact"/>
        <w:ind w:firstLine="567"/>
        <w:jc w:val="both"/>
        <w:rPr>
          <w:color w:val="000000"/>
          <w:sz w:val="24"/>
          <w:szCs w:val="24"/>
        </w:rPr>
      </w:pPr>
      <w:r w:rsidRPr="00756EC1">
        <w:rPr>
          <w:color w:val="000000"/>
          <w:sz w:val="24"/>
          <w:szCs w:val="24"/>
        </w:rPr>
        <w:t>tlaková ztráta okruhu</w:t>
      </w:r>
      <w:r w:rsidRPr="00756EC1">
        <w:rPr>
          <w:color w:val="000000"/>
          <w:sz w:val="24"/>
          <w:szCs w:val="24"/>
        </w:rPr>
        <w:tab/>
      </w:r>
      <w:r w:rsidRPr="00756EC1">
        <w:rPr>
          <w:color w:val="000000"/>
          <w:sz w:val="24"/>
          <w:szCs w:val="24"/>
        </w:rPr>
        <w:sym w:font="Symbol" w:char="F044"/>
      </w:r>
      <w:proofErr w:type="spellStart"/>
      <w:r w:rsidRPr="00756EC1">
        <w:rPr>
          <w:color w:val="000000"/>
          <w:sz w:val="24"/>
          <w:szCs w:val="24"/>
        </w:rPr>
        <w:t>p</w:t>
      </w:r>
      <w:r w:rsidRPr="00756EC1">
        <w:rPr>
          <w:color w:val="000000"/>
          <w:sz w:val="24"/>
          <w:szCs w:val="24"/>
          <w:vertAlign w:val="subscript"/>
        </w:rPr>
        <w:t>OKI</w:t>
      </w:r>
      <w:proofErr w:type="spellEnd"/>
      <w:r w:rsidRPr="00756EC1">
        <w:rPr>
          <w:color w:val="000000"/>
          <w:sz w:val="24"/>
          <w:szCs w:val="24"/>
          <w:vertAlign w:val="subscript"/>
        </w:rPr>
        <w:tab/>
      </w:r>
      <w:r w:rsidRPr="00756EC1">
        <w:rPr>
          <w:color w:val="000000"/>
          <w:sz w:val="24"/>
          <w:szCs w:val="24"/>
        </w:rPr>
        <w:t>=</w:t>
      </w:r>
      <w:r w:rsidRPr="00756EC1">
        <w:rPr>
          <w:color w:val="000000"/>
          <w:sz w:val="24"/>
          <w:szCs w:val="24"/>
        </w:rPr>
        <w:tab/>
        <w:t xml:space="preserve">50,0 </w:t>
      </w:r>
      <w:proofErr w:type="spellStart"/>
      <w:r w:rsidRPr="00756EC1">
        <w:rPr>
          <w:color w:val="000000"/>
          <w:sz w:val="24"/>
          <w:szCs w:val="24"/>
        </w:rPr>
        <w:t>kPa</w:t>
      </w:r>
      <w:proofErr w:type="spellEnd"/>
    </w:p>
    <w:p w14:paraId="07A193D3" w14:textId="77777777" w:rsidR="00756EC1" w:rsidRPr="00756EC1" w:rsidRDefault="00756EC1" w:rsidP="00756EC1">
      <w:pPr>
        <w:spacing w:before="120" w:line="260" w:lineRule="exact"/>
        <w:ind w:firstLine="567"/>
        <w:jc w:val="both"/>
        <w:rPr>
          <w:sz w:val="24"/>
          <w:szCs w:val="24"/>
        </w:rPr>
      </w:pPr>
      <w:r w:rsidRPr="00756EC1">
        <w:rPr>
          <w:sz w:val="24"/>
          <w:szCs w:val="24"/>
        </w:rPr>
        <w:t>Nucený oběh otopné vody v okruhu 1 (teplovodní tělesa) bude zajišťovat nové oběhové teplovodní čerpadlo s plynulou změnou otáček, max. průtok topné vody 6,0 m</w:t>
      </w:r>
      <w:r w:rsidRPr="00756EC1">
        <w:rPr>
          <w:sz w:val="24"/>
          <w:szCs w:val="24"/>
          <w:vertAlign w:val="superscript"/>
        </w:rPr>
        <w:t>3</w:t>
      </w:r>
      <w:r w:rsidRPr="00756EC1">
        <w:rPr>
          <w:sz w:val="24"/>
          <w:szCs w:val="24"/>
        </w:rPr>
        <w:t xml:space="preserve">/hod a max. dopravní tlak 60 </w:t>
      </w:r>
      <w:proofErr w:type="spellStart"/>
      <w:r w:rsidRPr="00756EC1">
        <w:rPr>
          <w:sz w:val="24"/>
          <w:szCs w:val="24"/>
        </w:rPr>
        <w:t>kPa</w:t>
      </w:r>
      <w:proofErr w:type="spellEnd"/>
      <w:r w:rsidRPr="00756EC1">
        <w:rPr>
          <w:sz w:val="24"/>
          <w:szCs w:val="24"/>
        </w:rPr>
        <w:t>.</w:t>
      </w:r>
    </w:p>
    <w:p w14:paraId="5CB0C2F1" w14:textId="77777777" w:rsidR="00756EC1" w:rsidRPr="00756EC1" w:rsidRDefault="00756EC1" w:rsidP="00756EC1">
      <w:pPr>
        <w:spacing w:before="120" w:line="260" w:lineRule="exact"/>
        <w:ind w:firstLine="567"/>
        <w:jc w:val="both"/>
        <w:rPr>
          <w:sz w:val="24"/>
          <w:szCs w:val="24"/>
        </w:rPr>
      </w:pPr>
      <w:r w:rsidRPr="00756EC1">
        <w:rPr>
          <w:sz w:val="24"/>
          <w:szCs w:val="24"/>
        </w:rPr>
        <w:t>Směšování otopné vody bude zajišťovat nastavení třícestného směšovacího ventilu DN40 Kvs 25 se servopohonem ARA 641 (</w:t>
      </w:r>
      <w:proofErr w:type="spellStart"/>
      <w:r w:rsidRPr="00756EC1">
        <w:rPr>
          <w:sz w:val="24"/>
          <w:szCs w:val="24"/>
        </w:rPr>
        <w:t>o.č</w:t>
      </w:r>
      <w:proofErr w:type="spellEnd"/>
      <w:r w:rsidRPr="00756EC1">
        <w:rPr>
          <w:sz w:val="24"/>
          <w:szCs w:val="24"/>
        </w:rPr>
        <w:t xml:space="preserve">. 11601200) </w:t>
      </w:r>
      <w:proofErr w:type="gramStart"/>
      <w:r w:rsidRPr="00756EC1">
        <w:rPr>
          <w:sz w:val="24"/>
          <w:szCs w:val="24"/>
        </w:rPr>
        <w:t>230V</w:t>
      </w:r>
      <w:proofErr w:type="gramEnd"/>
      <w:r w:rsidRPr="00756EC1">
        <w:rPr>
          <w:sz w:val="24"/>
          <w:szCs w:val="24"/>
        </w:rPr>
        <w:t xml:space="preserve">. </w:t>
      </w:r>
    </w:p>
    <w:p w14:paraId="043387B9" w14:textId="77777777" w:rsidR="00756EC1" w:rsidRPr="00756EC1" w:rsidRDefault="00756EC1" w:rsidP="00756EC1">
      <w:pPr>
        <w:spacing w:before="120" w:line="260" w:lineRule="exact"/>
        <w:ind w:firstLine="567"/>
        <w:jc w:val="both"/>
        <w:rPr>
          <w:sz w:val="24"/>
          <w:szCs w:val="24"/>
        </w:rPr>
      </w:pPr>
      <w:r w:rsidRPr="00756EC1">
        <w:rPr>
          <w:sz w:val="24"/>
          <w:szCs w:val="24"/>
        </w:rPr>
        <w:t>Za čerpadlem bude osazena zpětná klapka ZK-50. Na vstupu zpětné vody do sběrače bude osazen závitový filtr F-50 a vyvažovací ventil DN40. Jako uzavírací členy jsou použity uzavírací kulové kohouty KK-50.</w:t>
      </w:r>
    </w:p>
    <w:p w14:paraId="47EA7476" w14:textId="77777777" w:rsidR="00756EC1" w:rsidRPr="00756EC1" w:rsidRDefault="00756EC1" w:rsidP="00756EC1">
      <w:pPr>
        <w:spacing w:line="260" w:lineRule="exact"/>
        <w:ind w:firstLine="567"/>
        <w:jc w:val="both"/>
        <w:rPr>
          <w:sz w:val="24"/>
          <w:szCs w:val="24"/>
        </w:rPr>
      </w:pPr>
      <w:r w:rsidRPr="00756EC1">
        <w:rPr>
          <w:sz w:val="24"/>
          <w:szCs w:val="24"/>
        </w:rPr>
        <w:t xml:space="preserve">Přesné umístění armatur viz schéma zapojení.   </w:t>
      </w:r>
    </w:p>
    <w:p w14:paraId="0882ABD0" w14:textId="77777777" w:rsidR="00756EC1" w:rsidRPr="00756EC1" w:rsidRDefault="00756EC1" w:rsidP="00756EC1">
      <w:pPr>
        <w:spacing w:line="260" w:lineRule="exact"/>
        <w:ind w:firstLine="567"/>
        <w:jc w:val="both"/>
        <w:rPr>
          <w:sz w:val="24"/>
          <w:szCs w:val="24"/>
        </w:rPr>
      </w:pPr>
    </w:p>
    <w:p w14:paraId="1805EEFB" w14:textId="77777777" w:rsidR="00756EC1" w:rsidRPr="00756EC1" w:rsidRDefault="00756EC1" w:rsidP="00756EC1">
      <w:pPr>
        <w:tabs>
          <w:tab w:val="left" w:pos="1134"/>
          <w:tab w:val="left" w:pos="5103"/>
          <w:tab w:val="left" w:pos="5812"/>
          <w:tab w:val="left" w:pos="6096"/>
        </w:tabs>
        <w:spacing w:line="260" w:lineRule="exact"/>
        <w:ind w:firstLine="567"/>
        <w:jc w:val="both"/>
        <w:rPr>
          <w:color w:val="000000"/>
          <w:sz w:val="24"/>
          <w:szCs w:val="24"/>
        </w:rPr>
      </w:pPr>
      <w:r w:rsidRPr="00756EC1">
        <w:rPr>
          <w:b/>
          <w:color w:val="000000"/>
          <w:sz w:val="24"/>
          <w:szCs w:val="24"/>
        </w:rPr>
        <w:t>okruh vytápění 2 - vzduchotechnika</w:t>
      </w:r>
    </w:p>
    <w:p w14:paraId="36ADD14D" w14:textId="77777777" w:rsidR="00756EC1" w:rsidRPr="00756EC1" w:rsidRDefault="00756EC1" w:rsidP="00756EC1">
      <w:pPr>
        <w:tabs>
          <w:tab w:val="left" w:pos="1134"/>
          <w:tab w:val="left" w:pos="5103"/>
          <w:tab w:val="left" w:pos="5812"/>
          <w:tab w:val="left" w:pos="6096"/>
        </w:tabs>
        <w:spacing w:before="60" w:line="260" w:lineRule="exact"/>
        <w:ind w:firstLine="567"/>
        <w:jc w:val="both"/>
        <w:rPr>
          <w:color w:val="000000"/>
          <w:sz w:val="24"/>
          <w:szCs w:val="24"/>
        </w:rPr>
      </w:pPr>
      <w:r w:rsidRPr="00756EC1">
        <w:rPr>
          <w:color w:val="000000"/>
          <w:sz w:val="24"/>
          <w:szCs w:val="24"/>
        </w:rPr>
        <w:t>výkon vzduchotechniky</w:t>
      </w:r>
      <w:r w:rsidRPr="00756EC1">
        <w:rPr>
          <w:color w:val="000000"/>
          <w:sz w:val="24"/>
          <w:szCs w:val="24"/>
        </w:rPr>
        <w:tab/>
        <w:t>Q</w:t>
      </w:r>
      <w:r w:rsidRPr="00756EC1">
        <w:rPr>
          <w:color w:val="000000"/>
          <w:sz w:val="24"/>
          <w:szCs w:val="24"/>
          <w:vertAlign w:val="subscript"/>
        </w:rPr>
        <w:t>OK2</w:t>
      </w:r>
      <w:r w:rsidRPr="00756EC1">
        <w:rPr>
          <w:color w:val="000000"/>
          <w:sz w:val="24"/>
          <w:szCs w:val="24"/>
          <w:vertAlign w:val="subscript"/>
        </w:rPr>
        <w:tab/>
      </w:r>
      <w:r w:rsidRPr="00756EC1">
        <w:rPr>
          <w:color w:val="000000"/>
          <w:sz w:val="24"/>
          <w:szCs w:val="24"/>
        </w:rPr>
        <w:t>=</w:t>
      </w:r>
      <w:r w:rsidRPr="00756EC1">
        <w:rPr>
          <w:color w:val="000000"/>
          <w:sz w:val="24"/>
          <w:szCs w:val="24"/>
        </w:rPr>
        <w:tab/>
        <w:t>35 kW</w:t>
      </w:r>
    </w:p>
    <w:p w14:paraId="454340B4" w14:textId="77777777" w:rsidR="00756EC1" w:rsidRPr="00756EC1" w:rsidRDefault="00756EC1" w:rsidP="00756EC1">
      <w:pPr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60" w:lineRule="exact"/>
        <w:ind w:firstLine="567"/>
        <w:jc w:val="both"/>
        <w:rPr>
          <w:color w:val="000000"/>
          <w:sz w:val="24"/>
          <w:szCs w:val="24"/>
        </w:rPr>
      </w:pPr>
      <w:r w:rsidRPr="00756EC1">
        <w:rPr>
          <w:color w:val="000000"/>
          <w:sz w:val="24"/>
          <w:szCs w:val="24"/>
        </w:rPr>
        <w:t>hmotnostní průtok (80/</w:t>
      </w:r>
      <w:proofErr w:type="gramStart"/>
      <w:r w:rsidRPr="00756EC1">
        <w:rPr>
          <w:color w:val="000000"/>
          <w:sz w:val="24"/>
          <w:szCs w:val="24"/>
        </w:rPr>
        <w:t>60°C</w:t>
      </w:r>
      <w:proofErr w:type="gramEnd"/>
      <w:r w:rsidRPr="00756EC1">
        <w:rPr>
          <w:color w:val="000000"/>
          <w:sz w:val="24"/>
          <w:szCs w:val="24"/>
        </w:rPr>
        <w:t>)</w:t>
      </w:r>
      <w:r w:rsidRPr="00756EC1">
        <w:rPr>
          <w:color w:val="000000"/>
          <w:sz w:val="24"/>
          <w:szCs w:val="24"/>
        </w:rPr>
        <w:tab/>
        <w:t>m</w:t>
      </w:r>
      <w:r w:rsidRPr="00756EC1">
        <w:rPr>
          <w:color w:val="000000"/>
          <w:sz w:val="24"/>
          <w:szCs w:val="24"/>
          <w:vertAlign w:val="subscript"/>
        </w:rPr>
        <w:t xml:space="preserve">OK2 </w:t>
      </w:r>
      <w:r w:rsidRPr="00756EC1">
        <w:rPr>
          <w:color w:val="000000"/>
          <w:sz w:val="24"/>
          <w:szCs w:val="24"/>
          <w:vertAlign w:val="subscript"/>
        </w:rPr>
        <w:tab/>
      </w:r>
      <w:r w:rsidRPr="00756EC1">
        <w:rPr>
          <w:color w:val="000000"/>
          <w:sz w:val="24"/>
          <w:szCs w:val="24"/>
        </w:rPr>
        <w:t>=</w:t>
      </w:r>
      <w:r w:rsidRPr="00756EC1">
        <w:rPr>
          <w:color w:val="000000"/>
          <w:sz w:val="24"/>
          <w:szCs w:val="24"/>
        </w:rPr>
        <w:tab/>
        <w:t>1505 kg/hod</w:t>
      </w:r>
    </w:p>
    <w:p w14:paraId="4016090A" w14:textId="77777777" w:rsidR="00756EC1" w:rsidRPr="00756EC1" w:rsidRDefault="00756EC1" w:rsidP="00756EC1">
      <w:pPr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60" w:lineRule="exact"/>
        <w:ind w:firstLine="567"/>
        <w:jc w:val="both"/>
        <w:rPr>
          <w:color w:val="000000"/>
          <w:sz w:val="24"/>
          <w:szCs w:val="24"/>
        </w:rPr>
      </w:pPr>
      <w:r w:rsidRPr="00756EC1">
        <w:rPr>
          <w:color w:val="000000"/>
          <w:sz w:val="24"/>
          <w:szCs w:val="24"/>
        </w:rPr>
        <w:t>tlaková ztráta okruhu</w:t>
      </w:r>
      <w:r w:rsidRPr="00756EC1">
        <w:rPr>
          <w:color w:val="000000"/>
          <w:sz w:val="24"/>
          <w:szCs w:val="24"/>
        </w:rPr>
        <w:tab/>
      </w:r>
      <w:r w:rsidRPr="00756EC1">
        <w:rPr>
          <w:color w:val="000000"/>
          <w:sz w:val="24"/>
          <w:szCs w:val="24"/>
        </w:rPr>
        <w:sym w:font="Symbol" w:char="F044"/>
      </w:r>
      <w:r w:rsidRPr="00756EC1">
        <w:rPr>
          <w:color w:val="000000"/>
          <w:sz w:val="24"/>
          <w:szCs w:val="24"/>
        </w:rPr>
        <w:t>p</w:t>
      </w:r>
      <w:r w:rsidRPr="00756EC1">
        <w:rPr>
          <w:color w:val="000000"/>
          <w:sz w:val="24"/>
          <w:szCs w:val="24"/>
          <w:vertAlign w:val="subscript"/>
        </w:rPr>
        <w:t>OK2</w:t>
      </w:r>
      <w:r w:rsidRPr="00756EC1">
        <w:rPr>
          <w:color w:val="000000"/>
          <w:sz w:val="24"/>
          <w:szCs w:val="24"/>
          <w:vertAlign w:val="subscript"/>
        </w:rPr>
        <w:tab/>
      </w:r>
      <w:r w:rsidRPr="00756EC1">
        <w:rPr>
          <w:color w:val="000000"/>
          <w:sz w:val="24"/>
          <w:szCs w:val="24"/>
        </w:rPr>
        <w:t>=</w:t>
      </w:r>
      <w:r w:rsidRPr="00756EC1">
        <w:rPr>
          <w:color w:val="000000"/>
          <w:sz w:val="24"/>
          <w:szCs w:val="24"/>
        </w:rPr>
        <w:tab/>
        <w:t xml:space="preserve">30,0 </w:t>
      </w:r>
      <w:proofErr w:type="spellStart"/>
      <w:r w:rsidRPr="00756EC1">
        <w:rPr>
          <w:color w:val="000000"/>
          <w:sz w:val="24"/>
          <w:szCs w:val="24"/>
        </w:rPr>
        <w:t>kPa</w:t>
      </w:r>
      <w:proofErr w:type="spellEnd"/>
    </w:p>
    <w:p w14:paraId="2865A1B2" w14:textId="77777777" w:rsidR="00756EC1" w:rsidRPr="00756EC1" w:rsidRDefault="00756EC1" w:rsidP="00756EC1">
      <w:pPr>
        <w:spacing w:before="120" w:line="260" w:lineRule="exact"/>
        <w:ind w:firstLine="567"/>
        <w:jc w:val="both"/>
        <w:rPr>
          <w:sz w:val="24"/>
          <w:szCs w:val="24"/>
        </w:rPr>
      </w:pPr>
      <w:r w:rsidRPr="00756EC1">
        <w:rPr>
          <w:sz w:val="24"/>
          <w:szCs w:val="24"/>
        </w:rPr>
        <w:t>Nucený oběh otopné vody v okruhu 2 (vzduchotechnika) bude zajišťovat nové oběhové teplovodní čerpadlo s plynulou změnou otáček, max. průtok topné vody 1,5 m</w:t>
      </w:r>
      <w:r w:rsidRPr="00756EC1">
        <w:rPr>
          <w:sz w:val="24"/>
          <w:szCs w:val="24"/>
          <w:vertAlign w:val="superscript"/>
        </w:rPr>
        <w:t>3</w:t>
      </w:r>
      <w:r w:rsidRPr="00756EC1">
        <w:rPr>
          <w:sz w:val="24"/>
          <w:szCs w:val="24"/>
        </w:rPr>
        <w:t xml:space="preserve">/hod a max. dopravní tlak 40 </w:t>
      </w:r>
      <w:proofErr w:type="spellStart"/>
      <w:r w:rsidRPr="00756EC1">
        <w:rPr>
          <w:sz w:val="24"/>
          <w:szCs w:val="24"/>
        </w:rPr>
        <w:t>kPa</w:t>
      </w:r>
      <w:proofErr w:type="spellEnd"/>
      <w:r w:rsidRPr="00756EC1">
        <w:rPr>
          <w:sz w:val="24"/>
          <w:szCs w:val="24"/>
        </w:rPr>
        <w:t>.</w:t>
      </w:r>
    </w:p>
    <w:p w14:paraId="5DF8F411" w14:textId="77777777" w:rsidR="00756EC1" w:rsidRPr="00756EC1" w:rsidRDefault="00756EC1" w:rsidP="00756EC1">
      <w:pPr>
        <w:spacing w:before="120" w:line="260" w:lineRule="exact"/>
        <w:ind w:firstLine="567"/>
        <w:jc w:val="both"/>
        <w:rPr>
          <w:sz w:val="24"/>
          <w:szCs w:val="24"/>
        </w:rPr>
      </w:pPr>
      <w:r w:rsidRPr="00756EC1">
        <w:rPr>
          <w:sz w:val="24"/>
          <w:szCs w:val="24"/>
        </w:rPr>
        <w:t>Za čerpadlem bude osazena zpětná klapka ZK-32. Na vstupu zpětné vody do sběrače bude osazen závitový filtr F-32 a vyvažovací ventil DN25. Jako uzavírací členy jsou použity uzavírací kulové kohouty KK-50.</w:t>
      </w:r>
    </w:p>
    <w:p w14:paraId="32B8182D" w14:textId="77777777" w:rsidR="00756EC1" w:rsidRPr="00756EC1" w:rsidRDefault="00756EC1" w:rsidP="00756EC1">
      <w:pPr>
        <w:spacing w:line="260" w:lineRule="exact"/>
        <w:ind w:firstLine="567"/>
        <w:jc w:val="both"/>
        <w:rPr>
          <w:sz w:val="24"/>
          <w:szCs w:val="24"/>
        </w:rPr>
      </w:pPr>
      <w:r w:rsidRPr="00756EC1">
        <w:rPr>
          <w:sz w:val="24"/>
          <w:szCs w:val="24"/>
        </w:rPr>
        <w:t xml:space="preserve">Přesné umístění armatur viz schéma zapojení.   </w:t>
      </w:r>
    </w:p>
    <w:p w14:paraId="5B8454AE" w14:textId="77777777" w:rsidR="00756EC1" w:rsidRPr="00756EC1" w:rsidRDefault="00756EC1" w:rsidP="00756EC1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756EC1">
        <w:rPr>
          <w:sz w:val="24"/>
          <w:szCs w:val="24"/>
        </w:rPr>
        <w:t xml:space="preserve">Jištění otopné soustavy je navrženo v souladu ČSN 06 0830. Každý kotel bude vybaven závitovým pojistným ventilem 1“ x 5/4“ (otvírací přetlak 300 </w:t>
      </w:r>
      <w:proofErr w:type="spellStart"/>
      <w:r w:rsidRPr="00756EC1">
        <w:rPr>
          <w:sz w:val="24"/>
          <w:szCs w:val="24"/>
        </w:rPr>
        <w:t>kPa</w:t>
      </w:r>
      <w:proofErr w:type="spellEnd"/>
      <w:r w:rsidRPr="00756EC1">
        <w:rPr>
          <w:sz w:val="24"/>
          <w:szCs w:val="24"/>
        </w:rPr>
        <w:t xml:space="preserve">). Pro jištění otopné soustavy bude vzhledem k velikosti stávajícího topného systému (objem topné soustavy cca 2150 litrů) použit expanzní automat do max. topného výkonu 400 kW, max. vodním objemem topné soustavy do 4800 litrů a max. statické výšky 40 m vč. nádoby o objemu 175 litrů. </w:t>
      </w:r>
    </w:p>
    <w:p w14:paraId="7EB18B59" w14:textId="30FA9D9A" w:rsidR="00756EC1" w:rsidRPr="00756EC1" w:rsidRDefault="00756EC1" w:rsidP="00756EC1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756EC1">
        <w:rPr>
          <w:sz w:val="24"/>
          <w:szCs w:val="24"/>
        </w:rPr>
        <w:t>Automat bude do systému napojen dle výrobce na zpátečku. Rozteč mezi přívodním a zpětným potrubím bude min. 500 mm. Automat bude napojen na přívod studené vody přes úpravnu vody. Poruchový stav expanzního automatu bude zaveden do</w:t>
      </w:r>
      <w:r>
        <w:rPr>
          <w:sz w:val="24"/>
          <w:szCs w:val="24"/>
        </w:rPr>
        <w:t xml:space="preserve"> poruchové signalizace.</w:t>
      </w:r>
      <w:r w:rsidRPr="00756EC1">
        <w:rPr>
          <w:sz w:val="24"/>
          <w:szCs w:val="24"/>
        </w:rPr>
        <w:t xml:space="preserve">  </w:t>
      </w:r>
    </w:p>
    <w:p w14:paraId="5CA92AC8" w14:textId="77777777" w:rsidR="00AB5AE0" w:rsidRPr="008539F6" w:rsidRDefault="00AB5AE0" w:rsidP="008539F6">
      <w:pPr>
        <w:spacing w:line="260" w:lineRule="exact"/>
        <w:ind w:firstLine="567"/>
        <w:jc w:val="both"/>
        <w:rPr>
          <w:spacing w:val="-3"/>
          <w:sz w:val="24"/>
          <w:szCs w:val="24"/>
        </w:rPr>
      </w:pPr>
    </w:p>
    <w:p w14:paraId="60DB2DD2" w14:textId="77777777" w:rsidR="00AB5AE0" w:rsidRPr="008539F6" w:rsidRDefault="00AB5AE0" w:rsidP="008539F6">
      <w:pPr>
        <w:pStyle w:val="Nadpis1"/>
        <w:spacing w:line="260" w:lineRule="exact"/>
        <w:rPr>
          <w:szCs w:val="24"/>
        </w:rPr>
      </w:pPr>
      <w:bookmarkStart w:id="54" w:name="_Toc367870226"/>
      <w:bookmarkStart w:id="55" w:name="_Toc72163676"/>
      <w:proofErr w:type="gramStart"/>
      <w:r w:rsidRPr="008539F6">
        <w:rPr>
          <w:szCs w:val="24"/>
        </w:rPr>
        <w:t>B.2.8  Požárně</w:t>
      </w:r>
      <w:proofErr w:type="gramEnd"/>
      <w:r w:rsidRPr="008539F6">
        <w:rPr>
          <w:szCs w:val="24"/>
        </w:rPr>
        <w:t xml:space="preserve"> bezpečnostní řešení</w:t>
      </w:r>
      <w:bookmarkEnd w:id="54"/>
      <w:bookmarkEnd w:id="55"/>
    </w:p>
    <w:p w14:paraId="5379B218" w14:textId="5752146C" w:rsidR="00AB5AE0" w:rsidRPr="008539F6" w:rsidRDefault="00756EC1" w:rsidP="008539F6">
      <w:pPr>
        <w:pStyle w:val="Nadpis8"/>
        <w:spacing w:before="120" w:line="260" w:lineRule="exact"/>
        <w:ind w:left="0" w:firstLine="567"/>
        <w:rPr>
          <w:szCs w:val="24"/>
        </w:rPr>
      </w:pPr>
      <w:r w:rsidRPr="00756EC1">
        <w:rPr>
          <w:szCs w:val="24"/>
        </w:rPr>
        <w:t>Cílem požárně bezpečnostního řešení je stanovení požadavků požární bezpečnosti objektu. Více viz část „D.1.3 Požárně bezpečnostní řešení stavby“. Vyhodnocení, spolu se stanovením požadavků požární bezpečnosti staveb je provedeno v souladu s vyhláškou č. 268/2009 Sb., o technických požadavcích na stavby a podle ČSN 73 0802, ČSN 73 0804, ČSN 73 0873 a dalších navazujících norem.</w:t>
      </w:r>
      <w:r w:rsidR="00AB5AE0" w:rsidRPr="008539F6">
        <w:rPr>
          <w:szCs w:val="24"/>
        </w:rPr>
        <w:t xml:space="preserve"> </w:t>
      </w:r>
    </w:p>
    <w:p w14:paraId="7EB236A1" w14:textId="77777777" w:rsidR="00AB5AE0" w:rsidRPr="008539F6" w:rsidRDefault="00AB5AE0" w:rsidP="008539F6">
      <w:pPr>
        <w:spacing w:line="260" w:lineRule="exact"/>
        <w:ind w:firstLine="567"/>
        <w:rPr>
          <w:sz w:val="24"/>
          <w:szCs w:val="24"/>
        </w:rPr>
      </w:pPr>
    </w:p>
    <w:p w14:paraId="15E6BE9E" w14:textId="77777777" w:rsidR="00AB5AE0" w:rsidRPr="008539F6" w:rsidRDefault="00AB5AE0" w:rsidP="008539F6">
      <w:pPr>
        <w:pStyle w:val="Nadpis1"/>
        <w:spacing w:line="260" w:lineRule="exact"/>
        <w:rPr>
          <w:szCs w:val="24"/>
        </w:rPr>
      </w:pPr>
      <w:bookmarkStart w:id="56" w:name="_Toc367870227"/>
      <w:bookmarkStart w:id="57" w:name="_Toc72163677"/>
      <w:proofErr w:type="gramStart"/>
      <w:r w:rsidRPr="008539F6">
        <w:rPr>
          <w:szCs w:val="24"/>
        </w:rPr>
        <w:lastRenderedPageBreak/>
        <w:t>B.2.9  Zásady</w:t>
      </w:r>
      <w:proofErr w:type="gramEnd"/>
      <w:r w:rsidRPr="008539F6">
        <w:rPr>
          <w:szCs w:val="24"/>
        </w:rPr>
        <w:t xml:space="preserve"> hospodaření s energiemi</w:t>
      </w:r>
      <w:bookmarkEnd w:id="56"/>
      <w:bookmarkEnd w:id="57"/>
    </w:p>
    <w:p w14:paraId="502B7E40" w14:textId="77777777" w:rsidR="00AB5AE0" w:rsidRPr="008539F6" w:rsidRDefault="00AB5AE0" w:rsidP="008539F6">
      <w:pPr>
        <w:pStyle w:val="Nadpis2"/>
        <w:spacing w:line="260" w:lineRule="exact"/>
      </w:pPr>
      <w:bookmarkStart w:id="58" w:name="_Toc72163678"/>
      <w:r w:rsidRPr="008539F6">
        <w:t>a)</w:t>
      </w:r>
      <w:r w:rsidR="00952007" w:rsidRPr="008539F6">
        <w:t xml:space="preserve"> </w:t>
      </w:r>
      <w:r w:rsidRPr="008539F6">
        <w:t>kritéria tepelně technického hodnocení</w:t>
      </w:r>
      <w:bookmarkEnd w:id="58"/>
    </w:p>
    <w:p w14:paraId="2F9748B3" w14:textId="0C485971" w:rsidR="00AB5AE0" w:rsidRPr="008539F6" w:rsidRDefault="00AB5AE0" w:rsidP="008539F6">
      <w:pPr>
        <w:spacing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 xml:space="preserve">Při výměně tepelných izolací na rozvodu </w:t>
      </w:r>
      <w:r w:rsidR="00446329" w:rsidRPr="008539F6">
        <w:rPr>
          <w:spacing w:val="-3"/>
          <w:sz w:val="24"/>
          <w:szCs w:val="24"/>
        </w:rPr>
        <w:t xml:space="preserve">topné vody, </w:t>
      </w:r>
      <w:r w:rsidRPr="008539F6">
        <w:rPr>
          <w:spacing w:val="-3"/>
          <w:sz w:val="24"/>
          <w:szCs w:val="24"/>
        </w:rPr>
        <w:t>teplé vody a cirkulace dojde výměnou tepelně izolačních materiálů ke snížení tepelných ztrát. Tloušťka izolací je navržena dle vyhlášky č. 193/2007.</w:t>
      </w:r>
    </w:p>
    <w:p w14:paraId="59CCC0A2" w14:textId="77777777" w:rsidR="00AB5AE0" w:rsidRPr="008539F6" w:rsidRDefault="00AB5AE0" w:rsidP="008539F6">
      <w:pPr>
        <w:pStyle w:val="Nadpis2"/>
        <w:spacing w:line="260" w:lineRule="exact"/>
      </w:pPr>
      <w:bookmarkStart w:id="59" w:name="_Toc72163679"/>
      <w:r w:rsidRPr="008539F6">
        <w:t>b)</w:t>
      </w:r>
      <w:r w:rsidR="00952007" w:rsidRPr="008539F6">
        <w:t xml:space="preserve"> </w:t>
      </w:r>
      <w:r w:rsidRPr="008539F6">
        <w:t>energetická náročnost stavby</w:t>
      </w:r>
      <w:bookmarkEnd w:id="59"/>
    </w:p>
    <w:p w14:paraId="7DF83D30" w14:textId="1E5D8EDE" w:rsidR="00AB5AE0" w:rsidRDefault="00AB5AE0" w:rsidP="008539F6">
      <w:pPr>
        <w:spacing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 xml:space="preserve">K provozu </w:t>
      </w:r>
      <w:r w:rsidR="00DB6AA8">
        <w:rPr>
          <w:spacing w:val="-3"/>
          <w:sz w:val="24"/>
          <w:szCs w:val="24"/>
        </w:rPr>
        <w:t>plynové kotelny je třeba</w:t>
      </w:r>
      <w:r w:rsidRPr="008539F6">
        <w:rPr>
          <w:spacing w:val="-3"/>
          <w:sz w:val="24"/>
          <w:szCs w:val="24"/>
        </w:rPr>
        <w:t xml:space="preserve"> elektrické energie</w:t>
      </w:r>
      <w:r w:rsidR="00446329" w:rsidRPr="008539F6">
        <w:rPr>
          <w:spacing w:val="-3"/>
          <w:sz w:val="24"/>
          <w:szCs w:val="24"/>
        </w:rPr>
        <w:t>.</w:t>
      </w:r>
      <w:bookmarkStart w:id="60" w:name="_Toc367870230"/>
      <w:r w:rsidR="00446329" w:rsidRPr="008539F6">
        <w:rPr>
          <w:spacing w:val="-3"/>
          <w:sz w:val="24"/>
          <w:szCs w:val="24"/>
        </w:rPr>
        <w:t xml:space="preserve"> </w:t>
      </w:r>
      <w:r w:rsidR="001A56FA">
        <w:rPr>
          <w:spacing w:val="-3"/>
          <w:sz w:val="24"/>
          <w:szCs w:val="24"/>
        </w:rPr>
        <w:t xml:space="preserve">Celkový el. příkon je cca 1,5 kW (plynové kotle, oběhová čerpadla, expanzní automat, pohony klapek a směšovacích </w:t>
      </w:r>
      <w:proofErr w:type="gramStart"/>
      <w:r w:rsidR="001A56FA">
        <w:rPr>
          <w:spacing w:val="-3"/>
          <w:sz w:val="24"/>
          <w:szCs w:val="24"/>
        </w:rPr>
        <w:t>ventilů,</w:t>
      </w:r>
      <w:proofErr w:type="gramEnd"/>
      <w:r w:rsidR="001A56FA">
        <w:rPr>
          <w:spacing w:val="-3"/>
          <w:sz w:val="24"/>
          <w:szCs w:val="24"/>
        </w:rPr>
        <w:t xml:space="preserve"> atd.)</w:t>
      </w:r>
      <w:bookmarkEnd w:id="60"/>
      <w:r w:rsidRPr="008539F6">
        <w:rPr>
          <w:spacing w:val="-3"/>
          <w:sz w:val="24"/>
          <w:szCs w:val="24"/>
        </w:rPr>
        <w:t xml:space="preserve">. </w:t>
      </w:r>
    </w:p>
    <w:p w14:paraId="4BC538AA" w14:textId="77777777" w:rsidR="00DB6AA8" w:rsidRPr="008539F6" w:rsidRDefault="00DB6AA8" w:rsidP="008539F6">
      <w:pPr>
        <w:spacing w:line="260" w:lineRule="exact"/>
        <w:ind w:firstLine="567"/>
        <w:jc w:val="both"/>
        <w:rPr>
          <w:spacing w:val="-3"/>
          <w:sz w:val="24"/>
          <w:szCs w:val="24"/>
        </w:rPr>
      </w:pPr>
    </w:p>
    <w:p w14:paraId="1D597DDE" w14:textId="77777777" w:rsidR="00AB5AE0" w:rsidRPr="008539F6" w:rsidRDefault="00AB5AE0" w:rsidP="008539F6">
      <w:pPr>
        <w:keepNext/>
        <w:spacing w:after="120" w:line="260" w:lineRule="exact"/>
        <w:ind w:firstLine="567"/>
        <w:outlineLvl w:val="1"/>
        <w:rPr>
          <w:b/>
          <w:bCs/>
          <w:iCs/>
          <w:sz w:val="24"/>
          <w:szCs w:val="24"/>
        </w:rPr>
      </w:pPr>
      <w:bookmarkStart w:id="61" w:name="_Toc72163680"/>
      <w:bookmarkStart w:id="62" w:name="_Toc367870231"/>
      <w:proofErr w:type="gramStart"/>
      <w:r w:rsidRPr="008539F6">
        <w:rPr>
          <w:rStyle w:val="Nadpis1Char"/>
          <w:szCs w:val="24"/>
        </w:rPr>
        <w:t>B.2.10  Hygienické</w:t>
      </w:r>
      <w:proofErr w:type="gramEnd"/>
      <w:r w:rsidRPr="008539F6">
        <w:rPr>
          <w:rStyle w:val="Nadpis1Char"/>
          <w:szCs w:val="24"/>
        </w:rPr>
        <w:t xml:space="preserve"> požadavky na stavby, požadavky na pracovní a komunální prostředí - zásady řešení parametrů stavby (větrání, vytápění, osvětlení, zásobování</w:t>
      </w:r>
      <w:bookmarkEnd w:id="61"/>
      <w:r w:rsidRPr="008539F6">
        <w:rPr>
          <w:b/>
          <w:bCs/>
          <w:iCs/>
          <w:sz w:val="24"/>
          <w:szCs w:val="24"/>
        </w:rPr>
        <w:t xml:space="preserve"> </w:t>
      </w:r>
      <w:r w:rsidRPr="008539F6">
        <w:rPr>
          <w:rStyle w:val="Nadpis1Char"/>
          <w:szCs w:val="24"/>
        </w:rPr>
        <w:t>vodou, odpadů apod.) a dále zásady řešení vlivu stavby na okolí (vibrace, hluk, prašnost apod.)</w:t>
      </w:r>
      <w:bookmarkEnd w:id="62"/>
    </w:p>
    <w:p w14:paraId="0D3E6819" w14:textId="496577C3" w:rsidR="00AB5AE0" w:rsidRPr="00E37417" w:rsidRDefault="00AB5AE0" w:rsidP="008539F6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E37417">
        <w:rPr>
          <w:spacing w:val="-3"/>
          <w:sz w:val="24"/>
          <w:szCs w:val="24"/>
        </w:rPr>
        <w:t xml:space="preserve">Navržená stavba je projektována v souladu s obecnými technickými požadavky na stavby definovanými příslušnou vyhláškou. Splnění těchto požadavků předpokládá vznik vhodného vnitřního prostředí pro obývání stavby. Projektová dokumentace respektuje požadavky zákona 372/2011 Sb., </w:t>
      </w:r>
      <w:r w:rsidRPr="00E37417">
        <w:rPr>
          <w:sz w:val="24"/>
          <w:szCs w:val="24"/>
          <w:shd w:val="clear" w:color="auto" w:fill="FFFFFF"/>
        </w:rPr>
        <w:t>o zdravotnických službách</w:t>
      </w:r>
      <w:r w:rsidRPr="00E37417">
        <w:rPr>
          <w:sz w:val="24"/>
          <w:szCs w:val="24"/>
          <w:shd w:val="clear" w:color="auto" w:fill="FFFFFF"/>
          <w:lang w:val="en-US"/>
        </w:rPr>
        <w:t>;</w:t>
      </w:r>
      <w:r w:rsidRPr="00E37417">
        <w:rPr>
          <w:sz w:val="24"/>
          <w:szCs w:val="24"/>
          <w:shd w:val="clear" w:color="auto" w:fill="FFFFFF"/>
        </w:rPr>
        <w:t xml:space="preserve"> a zákon č. 258/2000 Sb., o ochraně veřejného zdraví</w:t>
      </w:r>
      <w:r w:rsidRPr="00E37417">
        <w:rPr>
          <w:sz w:val="24"/>
          <w:szCs w:val="24"/>
          <w:shd w:val="clear" w:color="auto" w:fill="FFFFFF"/>
          <w:lang w:val="en-US"/>
        </w:rPr>
        <w:t>;</w:t>
      </w:r>
      <w:r w:rsidRPr="00E37417">
        <w:rPr>
          <w:sz w:val="24"/>
          <w:szCs w:val="24"/>
          <w:shd w:val="clear" w:color="auto" w:fill="FFFFFF"/>
        </w:rPr>
        <w:t xml:space="preserve"> včetně jejich změn v aktuálním znění ke dni vypracování projektové dokumentace. </w:t>
      </w:r>
      <w:r w:rsidRPr="00E37417">
        <w:rPr>
          <w:sz w:val="24"/>
          <w:szCs w:val="24"/>
        </w:rPr>
        <w:t>Po dokončení prací budou provedeny čisté terénní úpravy a vše uvedeno do původního stavu.</w:t>
      </w:r>
    </w:p>
    <w:p w14:paraId="2E2C2E45" w14:textId="77777777" w:rsidR="00AB5AE0" w:rsidRPr="00E37417" w:rsidRDefault="00AB5AE0" w:rsidP="008539F6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E37417">
        <w:rPr>
          <w:sz w:val="24"/>
          <w:szCs w:val="24"/>
        </w:rPr>
        <w:t>S odpady bude nakládáno dle zákona č. 185/2001 Sb.</w:t>
      </w:r>
    </w:p>
    <w:p w14:paraId="6FF7E6D4" w14:textId="77777777" w:rsidR="00AB5AE0" w:rsidRPr="00E37417" w:rsidRDefault="00AB5AE0" w:rsidP="008539F6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E37417">
        <w:rPr>
          <w:sz w:val="24"/>
          <w:szCs w:val="24"/>
        </w:rPr>
        <w:t>Stavba nevyžaduje speciální protihlukové úpravy k zamezení pronikání hluku z okolí.</w:t>
      </w:r>
    </w:p>
    <w:p w14:paraId="25C3B737" w14:textId="77777777" w:rsidR="00AB5AE0" w:rsidRPr="008539F6" w:rsidRDefault="00AB5AE0" w:rsidP="008539F6">
      <w:pPr>
        <w:pStyle w:val="Nadpis1"/>
        <w:spacing w:before="240" w:line="260" w:lineRule="exact"/>
        <w:rPr>
          <w:szCs w:val="24"/>
        </w:rPr>
      </w:pPr>
      <w:bookmarkStart w:id="63" w:name="_Toc367870232"/>
      <w:bookmarkStart w:id="64" w:name="_Toc72163681"/>
      <w:proofErr w:type="gramStart"/>
      <w:r w:rsidRPr="008539F6">
        <w:rPr>
          <w:szCs w:val="24"/>
        </w:rPr>
        <w:t>B.2.11  Ochrana</w:t>
      </w:r>
      <w:proofErr w:type="gramEnd"/>
      <w:r w:rsidRPr="008539F6">
        <w:rPr>
          <w:szCs w:val="24"/>
        </w:rPr>
        <w:t xml:space="preserve"> stavby před negativními účinky vnějšího prostředí</w:t>
      </w:r>
      <w:bookmarkEnd w:id="63"/>
      <w:bookmarkEnd w:id="64"/>
    </w:p>
    <w:p w14:paraId="60588DCC" w14:textId="77777777" w:rsidR="00AB5AE0" w:rsidRPr="008539F6" w:rsidRDefault="00AB5AE0" w:rsidP="008539F6">
      <w:pPr>
        <w:pStyle w:val="Nadpis2"/>
        <w:spacing w:line="260" w:lineRule="exact"/>
      </w:pPr>
      <w:bookmarkStart w:id="65" w:name="_Toc367870233"/>
      <w:bookmarkStart w:id="66" w:name="_Toc72163682"/>
      <w:r w:rsidRPr="008539F6">
        <w:t>a) ochrana před pronikáním radonu z podloží</w:t>
      </w:r>
      <w:bookmarkEnd w:id="65"/>
      <w:bookmarkEnd w:id="66"/>
    </w:p>
    <w:p w14:paraId="4044BCA0" w14:textId="77777777" w:rsidR="00AB5AE0" w:rsidRPr="008539F6" w:rsidRDefault="00AB5AE0" w:rsidP="008539F6">
      <w:pPr>
        <w:spacing w:after="120"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 xml:space="preserve">Není předmětem řešení. </w:t>
      </w:r>
      <w:bookmarkStart w:id="67" w:name="_Toc367870234"/>
    </w:p>
    <w:p w14:paraId="28052716" w14:textId="77777777" w:rsidR="00AB5AE0" w:rsidRPr="008539F6" w:rsidRDefault="00AB5AE0" w:rsidP="008539F6">
      <w:pPr>
        <w:pStyle w:val="Nadpis2"/>
        <w:spacing w:line="260" w:lineRule="exact"/>
      </w:pPr>
      <w:bookmarkStart w:id="68" w:name="_Toc72163683"/>
      <w:r w:rsidRPr="008539F6">
        <w:t>b) ochrana před bludnými proudy</w:t>
      </w:r>
      <w:bookmarkEnd w:id="67"/>
      <w:bookmarkEnd w:id="68"/>
    </w:p>
    <w:p w14:paraId="68B92C1D" w14:textId="77777777" w:rsidR="00AB5AE0" w:rsidRPr="008539F6" w:rsidRDefault="00AB5AE0" w:rsidP="008539F6">
      <w:pPr>
        <w:spacing w:after="120" w:line="260" w:lineRule="exact"/>
        <w:ind w:firstLine="567"/>
        <w:jc w:val="both"/>
        <w:rPr>
          <w:snapToGrid w:val="0"/>
          <w:sz w:val="24"/>
          <w:szCs w:val="24"/>
        </w:rPr>
      </w:pPr>
      <w:r w:rsidRPr="008539F6">
        <w:rPr>
          <w:b/>
          <w:snapToGrid w:val="0"/>
          <w:sz w:val="24"/>
          <w:szCs w:val="24"/>
        </w:rPr>
        <w:tab/>
      </w:r>
      <w:r w:rsidRPr="008539F6">
        <w:rPr>
          <w:snapToGrid w:val="0"/>
          <w:sz w:val="24"/>
          <w:szCs w:val="24"/>
        </w:rPr>
        <w:t>Není předmětem řešení.</w:t>
      </w:r>
      <w:bookmarkStart w:id="69" w:name="_Toc367870235"/>
    </w:p>
    <w:p w14:paraId="22DE4C6C" w14:textId="77777777" w:rsidR="00AB5AE0" w:rsidRPr="008539F6" w:rsidRDefault="00AB5AE0" w:rsidP="008539F6">
      <w:pPr>
        <w:pStyle w:val="Nadpis2"/>
        <w:spacing w:line="260" w:lineRule="exact"/>
      </w:pPr>
      <w:bookmarkStart w:id="70" w:name="_Toc72163684"/>
      <w:r w:rsidRPr="008539F6">
        <w:t>c) ochrana před technickou seizmicitou</w:t>
      </w:r>
      <w:bookmarkStart w:id="71" w:name="_Toc367870236"/>
      <w:bookmarkEnd w:id="69"/>
      <w:bookmarkEnd w:id="70"/>
    </w:p>
    <w:p w14:paraId="452696B0" w14:textId="77777777" w:rsidR="00AB5AE0" w:rsidRPr="008539F6" w:rsidRDefault="00AB5AE0" w:rsidP="008539F6">
      <w:pPr>
        <w:spacing w:after="120" w:line="260" w:lineRule="exact"/>
        <w:ind w:firstLine="567"/>
        <w:jc w:val="both"/>
        <w:rPr>
          <w:snapToGrid w:val="0"/>
          <w:sz w:val="24"/>
          <w:szCs w:val="24"/>
        </w:rPr>
      </w:pPr>
      <w:r w:rsidRPr="008539F6">
        <w:rPr>
          <w:snapToGrid w:val="0"/>
          <w:sz w:val="24"/>
          <w:szCs w:val="24"/>
        </w:rPr>
        <w:t>Není předmětem řešení.</w:t>
      </w:r>
    </w:p>
    <w:p w14:paraId="746FB467" w14:textId="77777777" w:rsidR="00AB5AE0" w:rsidRPr="008539F6" w:rsidRDefault="00AB5AE0" w:rsidP="008539F6">
      <w:pPr>
        <w:pStyle w:val="Nadpis2"/>
        <w:spacing w:line="260" w:lineRule="exact"/>
      </w:pPr>
      <w:bookmarkStart w:id="72" w:name="_Toc72163685"/>
      <w:r w:rsidRPr="008539F6">
        <w:t>d) ochrana před hlukem</w:t>
      </w:r>
      <w:bookmarkEnd w:id="71"/>
      <w:bookmarkEnd w:id="72"/>
    </w:p>
    <w:p w14:paraId="7C68C4C8" w14:textId="77777777" w:rsidR="00AB5AE0" w:rsidRPr="008539F6" w:rsidRDefault="00AB5AE0" w:rsidP="008539F6">
      <w:pPr>
        <w:spacing w:after="120" w:line="260" w:lineRule="exact"/>
        <w:ind w:firstLine="567"/>
        <w:jc w:val="both"/>
        <w:rPr>
          <w:snapToGrid w:val="0"/>
          <w:sz w:val="24"/>
          <w:szCs w:val="24"/>
        </w:rPr>
      </w:pPr>
      <w:r w:rsidRPr="008539F6">
        <w:rPr>
          <w:snapToGrid w:val="0"/>
          <w:sz w:val="24"/>
          <w:szCs w:val="24"/>
        </w:rPr>
        <w:t>Není předmětem řešení.</w:t>
      </w:r>
      <w:bookmarkStart w:id="73" w:name="_Toc367870237"/>
    </w:p>
    <w:p w14:paraId="5A52261D" w14:textId="77777777" w:rsidR="00AB5AE0" w:rsidRPr="008539F6" w:rsidRDefault="00AB5AE0" w:rsidP="008539F6">
      <w:pPr>
        <w:pStyle w:val="Nadpis2"/>
        <w:spacing w:line="260" w:lineRule="exact"/>
      </w:pPr>
      <w:bookmarkStart w:id="74" w:name="_Toc72163686"/>
      <w:r w:rsidRPr="008539F6">
        <w:t>e) protipovodňová opatření</w:t>
      </w:r>
      <w:bookmarkEnd w:id="73"/>
      <w:bookmarkEnd w:id="74"/>
    </w:p>
    <w:p w14:paraId="1C8D114F" w14:textId="77777777" w:rsidR="00AB5AE0" w:rsidRPr="008539F6" w:rsidRDefault="00AB5AE0" w:rsidP="008539F6">
      <w:pPr>
        <w:spacing w:after="120" w:line="260" w:lineRule="exact"/>
        <w:ind w:firstLine="567"/>
        <w:jc w:val="both"/>
        <w:rPr>
          <w:snapToGrid w:val="0"/>
          <w:sz w:val="24"/>
          <w:szCs w:val="24"/>
        </w:rPr>
      </w:pPr>
      <w:r w:rsidRPr="008539F6">
        <w:rPr>
          <w:snapToGrid w:val="0"/>
          <w:sz w:val="24"/>
          <w:szCs w:val="24"/>
        </w:rPr>
        <w:t>Není předmětem řešení.</w:t>
      </w:r>
    </w:p>
    <w:p w14:paraId="6ADDD751" w14:textId="77777777" w:rsidR="00952007" w:rsidRPr="008539F6" w:rsidRDefault="00AB5AE0" w:rsidP="008539F6">
      <w:pPr>
        <w:pStyle w:val="Nadpis2"/>
        <w:spacing w:line="260" w:lineRule="exact"/>
      </w:pPr>
      <w:bookmarkStart w:id="75" w:name="_Toc72163687"/>
      <w:r w:rsidRPr="008539F6">
        <w:t xml:space="preserve">f) ostatní účinky (vliv poddolování, výskyt </w:t>
      </w:r>
      <w:proofErr w:type="gramStart"/>
      <w:r w:rsidRPr="008539F6">
        <w:t>metanu,</w:t>
      </w:r>
      <w:proofErr w:type="gramEnd"/>
      <w:r w:rsidRPr="008539F6">
        <w:t xml:space="preserve"> apod.)</w:t>
      </w:r>
      <w:bookmarkEnd w:id="75"/>
    </w:p>
    <w:p w14:paraId="5B9A338A" w14:textId="77777777" w:rsidR="00AB5AE0" w:rsidRPr="008539F6" w:rsidRDefault="00AB5AE0" w:rsidP="008539F6">
      <w:pPr>
        <w:spacing w:after="120" w:line="260" w:lineRule="exact"/>
        <w:ind w:firstLine="567"/>
        <w:jc w:val="both"/>
        <w:rPr>
          <w:b/>
          <w:snapToGrid w:val="0"/>
          <w:sz w:val="24"/>
          <w:szCs w:val="24"/>
        </w:rPr>
      </w:pPr>
      <w:r w:rsidRPr="008539F6">
        <w:rPr>
          <w:snapToGrid w:val="0"/>
          <w:sz w:val="24"/>
          <w:szCs w:val="24"/>
        </w:rPr>
        <w:t>Navrhovaná stavba se nenachází v žádné oblasti charakterizované nebezpečnými vlivy od důlní činnosti, nadměrného výskytu metanu ani jiných nežádoucích jevů.</w:t>
      </w:r>
      <w:r w:rsidRPr="008539F6">
        <w:rPr>
          <w:b/>
          <w:snapToGrid w:val="0"/>
          <w:sz w:val="24"/>
          <w:szCs w:val="24"/>
        </w:rPr>
        <w:t xml:space="preserve"> </w:t>
      </w:r>
    </w:p>
    <w:p w14:paraId="45B80B60" w14:textId="77777777" w:rsidR="00AB5AE0" w:rsidRPr="008539F6" w:rsidRDefault="00AB5AE0" w:rsidP="008539F6">
      <w:pPr>
        <w:pStyle w:val="Nadpis1"/>
        <w:spacing w:before="240" w:line="260" w:lineRule="exact"/>
        <w:rPr>
          <w:szCs w:val="24"/>
        </w:rPr>
      </w:pPr>
      <w:bookmarkStart w:id="76" w:name="_Toc367870238"/>
      <w:bookmarkStart w:id="77" w:name="_Toc72163688"/>
      <w:proofErr w:type="gramStart"/>
      <w:r w:rsidRPr="008539F6">
        <w:rPr>
          <w:szCs w:val="24"/>
        </w:rPr>
        <w:t>B.3  Připojení</w:t>
      </w:r>
      <w:proofErr w:type="gramEnd"/>
      <w:r w:rsidRPr="008539F6">
        <w:rPr>
          <w:szCs w:val="24"/>
        </w:rPr>
        <w:t xml:space="preserve"> na technickou infrastrukturu</w:t>
      </w:r>
      <w:bookmarkEnd w:id="76"/>
      <w:bookmarkEnd w:id="77"/>
    </w:p>
    <w:p w14:paraId="40993E56" w14:textId="77777777" w:rsidR="00AB5AE0" w:rsidRPr="008539F6" w:rsidRDefault="00AB5AE0" w:rsidP="008539F6">
      <w:pPr>
        <w:pStyle w:val="Nadpis2"/>
        <w:spacing w:line="260" w:lineRule="exact"/>
      </w:pPr>
      <w:bookmarkStart w:id="78" w:name="_Toc367870239"/>
      <w:bookmarkStart w:id="79" w:name="_Toc72163689"/>
      <w:r w:rsidRPr="008539F6">
        <w:t>a)</w:t>
      </w:r>
      <w:r w:rsidR="00952007" w:rsidRPr="008539F6">
        <w:t xml:space="preserve"> </w:t>
      </w:r>
      <w:r w:rsidRPr="008539F6">
        <w:t>napojovací místa technické infrastruktury</w:t>
      </w:r>
      <w:bookmarkEnd w:id="78"/>
      <w:bookmarkEnd w:id="79"/>
    </w:p>
    <w:p w14:paraId="51F948A0" w14:textId="301FEE2A" w:rsidR="00AB5AE0" w:rsidRPr="008539F6" w:rsidRDefault="00AB5AE0" w:rsidP="008539F6">
      <w:pPr>
        <w:spacing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 xml:space="preserve">Neřeší se, jedná se o </w:t>
      </w:r>
      <w:r w:rsidR="001A56FA">
        <w:rPr>
          <w:spacing w:val="-3"/>
          <w:sz w:val="24"/>
          <w:szCs w:val="24"/>
        </w:rPr>
        <w:t xml:space="preserve">stávající </w:t>
      </w:r>
      <w:r w:rsidRPr="008539F6">
        <w:rPr>
          <w:spacing w:val="-3"/>
          <w:sz w:val="24"/>
          <w:szCs w:val="24"/>
        </w:rPr>
        <w:t>stavbu, která je již na technickou infrastrukturu napojena</w:t>
      </w:r>
    </w:p>
    <w:p w14:paraId="636404BB" w14:textId="4A0B47A3" w:rsidR="00AB5AE0" w:rsidRDefault="00AB5AE0" w:rsidP="008539F6">
      <w:pPr>
        <w:pStyle w:val="Nadpis2"/>
        <w:spacing w:line="260" w:lineRule="exact"/>
      </w:pPr>
      <w:bookmarkStart w:id="80" w:name="_Toc72163690"/>
      <w:r w:rsidRPr="008539F6">
        <w:t>b)</w:t>
      </w:r>
      <w:bookmarkStart w:id="81" w:name="_Toc367870241"/>
      <w:r w:rsidR="00952007" w:rsidRPr="008539F6">
        <w:t xml:space="preserve"> </w:t>
      </w:r>
      <w:r w:rsidRPr="008539F6">
        <w:t>připojovací rozměry, výkonové kapacity a délky</w:t>
      </w:r>
      <w:bookmarkEnd w:id="80"/>
    </w:p>
    <w:p w14:paraId="2DC81248" w14:textId="2844C5D1" w:rsidR="001A56FA" w:rsidRPr="001A56FA" w:rsidRDefault="001A56FA" w:rsidP="001A56FA">
      <w:r>
        <w:tab/>
      </w:r>
    </w:p>
    <w:p w14:paraId="184F96F1" w14:textId="464D5C34" w:rsidR="00446329" w:rsidRPr="008539F6" w:rsidRDefault="00446329" w:rsidP="008539F6">
      <w:pPr>
        <w:tabs>
          <w:tab w:val="left" w:pos="0"/>
          <w:tab w:val="left" w:pos="567"/>
        </w:tabs>
        <w:spacing w:before="120" w:line="260" w:lineRule="exact"/>
        <w:ind w:firstLine="567"/>
        <w:jc w:val="both"/>
        <w:rPr>
          <w:b/>
          <w:sz w:val="24"/>
          <w:szCs w:val="24"/>
        </w:rPr>
      </w:pPr>
      <w:r w:rsidRPr="008539F6">
        <w:rPr>
          <w:b/>
          <w:sz w:val="24"/>
          <w:szCs w:val="24"/>
        </w:rPr>
        <w:lastRenderedPageBreak/>
        <w:t>Rozvody topné vody (</w:t>
      </w:r>
      <w:r w:rsidR="001A56FA">
        <w:rPr>
          <w:b/>
          <w:sz w:val="24"/>
          <w:szCs w:val="24"/>
        </w:rPr>
        <w:t xml:space="preserve">okruh </w:t>
      </w:r>
      <w:r w:rsidRPr="008539F6">
        <w:rPr>
          <w:b/>
          <w:sz w:val="24"/>
          <w:szCs w:val="24"/>
        </w:rPr>
        <w:t>ÚT</w:t>
      </w:r>
      <w:r w:rsidR="001A56FA">
        <w:rPr>
          <w:b/>
          <w:sz w:val="24"/>
          <w:szCs w:val="24"/>
        </w:rPr>
        <w:t xml:space="preserve"> - teplovodní tělesa</w:t>
      </w:r>
      <w:r w:rsidRPr="008539F6">
        <w:rPr>
          <w:b/>
          <w:sz w:val="24"/>
          <w:szCs w:val="24"/>
        </w:rPr>
        <w:t>)</w:t>
      </w:r>
    </w:p>
    <w:p w14:paraId="7F349ED4" w14:textId="354A99CA" w:rsidR="00552DB6" w:rsidRPr="008539F6" w:rsidRDefault="00552DB6" w:rsidP="008539F6">
      <w:pPr>
        <w:spacing w:before="120"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 xml:space="preserve">Materiál potrubí: </w:t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  <w:t>ocel</w:t>
      </w:r>
    </w:p>
    <w:p w14:paraId="20BE1471" w14:textId="0674FA6F" w:rsidR="00552DB6" w:rsidRPr="008539F6" w:rsidRDefault="00552DB6" w:rsidP="008539F6">
      <w:pPr>
        <w:spacing w:before="60"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>ÚT</w:t>
      </w:r>
      <w:r w:rsidR="001A56FA">
        <w:rPr>
          <w:spacing w:val="-3"/>
          <w:sz w:val="24"/>
          <w:szCs w:val="24"/>
        </w:rPr>
        <w:t>1</w:t>
      </w:r>
      <w:r w:rsidRPr="008539F6">
        <w:rPr>
          <w:spacing w:val="-3"/>
          <w:sz w:val="24"/>
          <w:szCs w:val="24"/>
        </w:rPr>
        <w:t xml:space="preserve"> - přívod:</w:t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  <w:t>DN65, ø76.1 x 2.9 mm</w:t>
      </w:r>
      <w:r w:rsidR="001A56FA">
        <w:rPr>
          <w:spacing w:val="-3"/>
          <w:sz w:val="24"/>
          <w:szCs w:val="24"/>
        </w:rPr>
        <w:t>, DN</w:t>
      </w:r>
      <w:r w:rsidRPr="008539F6">
        <w:rPr>
          <w:spacing w:val="-3"/>
          <w:sz w:val="24"/>
          <w:szCs w:val="24"/>
        </w:rPr>
        <w:t xml:space="preserve"> </w:t>
      </w:r>
      <w:r w:rsidRPr="008539F6">
        <w:rPr>
          <w:spacing w:val="-3"/>
          <w:sz w:val="24"/>
          <w:szCs w:val="24"/>
        </w:rPr>
        <w:tab/>
      </w:r>
    </w:p>
    <w:p w14:paraId="3722FC68" w14:textId="50B8343D" w:rsidR="00552DB6" w:rsidRPr="008539F6" w:rsidRDefault="00552DB6" w:rsidP="008539F6">
      <w:pPr>
        <w:spacing w:before="60" w:line="260" w:lineRule="exact"/>
        <w:ind w:firstLine="567"/>
        <w:jc w:val="both"/>
        <w:rPr>
          <w:spacing w:val="-3"/>
          <w:sz w:val="24"/>
          <w:szCs w:val="24"/>
        </w:rPr>
      </w:pPr>
      <w:bookmarkStart w:id="82" w:name="_Hlk56013298"/>
      <w:r w:rsidRPr="008539F6">
        <w:rPr>
          <w:spacing w:val="-3"/>
          <w:sz w:val="24"/>
          <w:szCs w:val="24"/>
        </w:rPr>
        <w:t>ÚT</w:t>
      </w:r>
      <w:r w:rsidR="001A56FA">
        <w:rPr>
          <w:spacing w:val="-3"/>
          <w:sz w:val="24"/>
          <w:szCs w:val="24"/>
        </w:rPr>
        <w:t>1</w:t>
      </w:r>
      <w:r w:rsidRPr="008539F6">
        <w:rPr>
          <w:spacing w:val="-3"/>
          <w:sz w:val="24"/>
          <w:szCs w:val="24"/>
        </w:rPr>
        <w:t>- zpátečka:</w:t>
      </w:r>
      <w:bookmarkEnd w:id="82"/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  <w:t>DN65, ø76.1 x 2.9 mm</w:t>
      </w:r>
    </w:p>
    <w:p w14:paraId="5439F4F3" w14:textId="45B8DFAD" w:rsidR="00552DB6" w:rsidRPr="008539F6" w:rsidRDefault="00552DB6" w:rsidP="008539F6">
      <w:pPr>
        <w:spacing w:before="60"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>ÚT</w:t>
      </w:r>
      <w:r w:rsidR="001A56FA">
        <w:rPr>
          <w:spacing w:val="-3"/>
          <w:sz w:val="24"/>
          <w:szCs w:val="24"/>
        </w:rPr>
        <w:t>1</w:t>
      </w:r>
      <w:r w:rsidRPr="008539F6">
        <w:rPr>
          <w:spacing w:val="-3"/>
          <w:sz w:val="24"/>
          <w:szCs w:val="24"/>
        </w:rPr>
        <w:t xml:space="preserve"> - přívod:</w:t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proofErr w:type="gramStart"/>
      <w:r w:rsidR="00252108">
        <w:rPr>
          <w:spacing w:val="-3"/>
          <w:sz w:val="24"/>
          <w:szCs w:val="24"/>
        </w:rPr>
        <w:t>9</w:t>
      </w:r>
      <w:r w:rsidRPr="008539F6">
        <w:rPr>
          <w:spacing w:val="-3"/>
          <w:sz w:val="24"/>
          <w:szCs w:val="24"/>
        </w:rPr>
        <w:t>0°C</w:t>
      </w:r>
      <w:proofErr w:type="gramEnd"/>
      <w:r w:rsidRPr="008539F6">
        <w:rPr>
          <w:spacing w:val="-3"/>
          <w:sz w:val="24"/>
          <w:szCs w:val="24"/>
        </w:rPr>
        <w:t xml:space="preserve"> (max. 90°C)</w:t>
      </w:r>
    </w:p>
    <w:p w14:paraId="4E76FFF1" w14:textId="6069CFAE" w:rsidR="00552DB6" w:rsidRDefault="00552DB6" w:rsidP="008539F6">
      <w:pPr>
        <w:spacing w:before="60"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>ÚT</w:t>
      </w:r>
      <w:r w:rsidR="001A56FA">
        <w:rPr>
          <w:spacing w:val="-3"/>
          <w:sz w:val="24"/>
          <w:szCs w:val="24"/>
        </w:rPr>
        <w:t>1</w:t>
      </w:r>
      <w:r w:rsidRPr="008539F6">
        <w:rPr>
          <w:spacing w:val="-3"/>
          <w:sz w:val="24"/>
          <w:szCs w:val="24"/>
        </w:rPr>
        <w:t xml:space="preserve"> - zpátečka:</w:t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proofErr w:type="gramStart"/>
      <w:r w:rsidR="00252108">
        <w:rPr>
          <w:spacing w:val="-3"/>
          <w:sz w:val="24"/>
          <w:szCs w:val="24"/>
        </w:rPr>
        <w:t>7</w:t>
      </w:r>
      <w:r w:rsidR="006F7BB7">
        <w:rPr>
          <w:spacing w:val="-3"/>
          <w:sz w:val="24"/>
          <w:szCs w:val="24"/>
        </w:rPr>
        <w:t>0</w:t>
      </w:r>
      <w:r w:rsidRPr="008539F6">
        <w:rPr>
          <w:spacing w:val="-3"/>
          <w:sz w:val="24"/>
          <w:szCs w:val="24"/>
        </w:rPr>
        <w:t>°C</w:t>
      </w:r>
      <w:proofErr w:type="gramEnd"/>
    </w:p>
    <w:p w14:paraId="28B5D622" w14:textId="70020A21" w:rsidR="001A56FA" w:rsidRPr="008539F6" w:rsidRDefault="001A56FA" w:rsidP="001A56FA">
      <w:pPr>
        <w:tabs>
          <w:tab w:val="left" w:pos="0"/>
          <w:tab w:val="left" w:pos="567"/>
        </w:tabs>
        <w:spacing w:before="120" w:line="260" w:lineRule="exact"/>
        <w:ind w:firstLine="567"/>
        <w:jc w:val="both"/>
        <w:rPr>
          <w:b/>
          <w:sz w:val="24"/>
          <w:szCs w:val="24"/>
        </w:rPr>
      </w:pPr>
      <w:r w:rsidRPr="008539F6">
        <w:rPr>
          <w:b/>
          <w:sz w:val="24"/>
          <w:szCs w:val="24"/>
        </w:rPr>
        <w:t>Rozvody topné vody (</w:t>
      </w:r>
      <w:r>
        <w:rPr>
          <w:b/>
          <w:sz w:val="24"/>
          <w:szCs w:val="24"/>
        </w:rPr>
        <w:t xml:space="preserve">okruh </w:t>
      </w:r>
      <w:r w:rsidRPr="008539F6">
        <w:rPr>
          <w:b/>
          <w:sz w:val="24"/>
          <w:szCs w:val="24"/>
        </w:rPr>
        <w:t>ÚT</w:t>
      </w:r>
      <w:r>
        <w:rPr>
          <w:b/>
          <w:sz w:val="24"/>
          <w:szCs w:val="24"/>
        </w:rPr>
        <w:t xml:space="preserve"> - vzduchotechnika</w:t>
      </w:r>
      <w:r w:rsidRPr="008539F6">
        <w:rPr>
          <w:b/>
          <w:sz w:val="24"/>
          <w:szCs w:val="24"/>
        </w:rPr>
        <w:t>)</w:t>
      </w:r>
    </w:p>
    <w:p w14:paraId="62E4A420" w14:textId="77777777" w:rsidR="001A56FA" w:rsidRPr="008539F6" w:rsidRDefault="001A56FA" w:rsidP="001A56FA">
      <w:pPr>
        <w:spacing w:before="120"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 xml:space="preserve">Materiál potrubí: </w:t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  <w:t>ocel</w:t>
      </w:r>
    </w:p>
    <w:p w14:paraId="78794E4A" w14:textId="56512C43" w:rsidR="001A56FA" w:rsidRPr="008539F6" w:rsidRDefault="001A56FA" w:rsidP="001A56FA">
      <w:pPr>
        <w:spacing w:before="60"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>ÚT</w:t>
      </w:r>
      <w:r>
        <w:rPr>
          <w:spacing w:val="-3"/>
          <w:sz w:val="24"/>
          <w:szCs w:val="24"/>
        </w:rPr>
        <w:t>2</w:t>
      </w:r>
      <w:r w:rsidRPr="008539F6">
        <w:rPr>
          <w:spacing w:val="-3"/>
          <w:sz w:val="24"/>
          <w:szCs w:val="24"/>
        </w:rPr>
        <w:t xml:space="preserve"> - přívod:</w:t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  <w:t>DN65, ø76.1 x 2.9 mm</w:t>
      </w:r>
      <w:r>
        <w:rPr>
          <w:spacing w:val="-3"/>
          <w:sz w:val="24"/>
          <w:szCs w:val="24"/>
        </w:rPr>
        <w:t>, DN</w:t>
      </w:r>
      <w:r w:rsidRPr="008539F6">
        <w:rPr>
          <w:spacing w:val="-3"/>
          <w:sz w:val="24"/>
          <w:szCs w:val="24"/>
        </w:rPr>
        <w:t xml:space="preserve"> </w:t>
      </w:r>
      <w:r w:rsidRPr="008539F6">
        <w:rPr>
          <w:spacing w:val="-3"/>
          <w:sz w:val="24"/>
          <w:szCs w:val="24"/>
        </w:rPr>
        <w:tab/>
      </w:r>
    </w:p>
    <w:p w14:paraId="60BD77F3" w14:textId="031BEF52" w:rsidR="001A56FA" w:rsidRPr="008539F6" w:rsidRDefault="001A56FA" w:rsidP="001A56FA">
      <w:pPr>
        <w:spacing w:before="60"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>ÚT</w:t>
      </w:r>
      <w:r>
        <w:rPr>
          <w:spacing w:val="-3"/>
          <w:sz w:val="24"/>
          <w:szCs w:val="24"/>
        </w:rPr>
        <w:t>2</w:t>
      </w:r>
      <w:r w:rsidRPr="008539F6">
        <w:rPr>
          <w:spacing w:val="-3"/>
          <w:sz w:val="24"/>
          <w:szCs w:val="24"/>
        </w:rPr>
        <w:t>- zpátečka:</w:t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  <w:t>DN65, ø76.1 x 2.9 mm</w:t>
      </w:r>
    </w:p>
    <w:p w14:paraId="5FAF83E9" w14:textId="61B8BC42" w:rsidR="001A56FA" w:rsidRPr="008539F6" w:rsidRDefault="001A56FA" w:rsidP="001A56FA">
      <w:pPr>
        <w:spacing w:before="60"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>ÚT</w:t>
      </w:r>
      <w:r>
        <w:rPr>
          <w:spacing w:val="-3"/>
          <w:sz w:val="24"/>
          <w:szCs w:val="24"/>
        </w:rPr>
        <w:t>2</w:t>
      </w:r>
      <w:r w:rsidRPr="008539F6">
        <w:rPr>
          <w:spacing w:val="-3"/>
          <w:sz w:val="24"/>
          <w:szCs w:val="24"/>
        </w:rPr>
        <w:t xml:space="preserve"> - přívod:</w:t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proofErr w:type="gramStart"/>
      <w:r>
        <w:rPr>
          <w:spacing w:val="-3"/>
          <w:sz w:val="24"/>
          <w:szCs w:val="24"/>
        </w:rPr>
        <w:t>9</w:t>
      </w:r>
      <w:r w:rsidRPr="008539F6">
        <w:rPr>
          <w:spacing w:val="-3"/>
          <w:sz w:val="24"/>
          <w:szCs w:val="24"/>
        </w:rPr>
        <w:t>0°C</w:t>
      </w:r>
      <w:proofErr w:type="gramEnd"/>
      <w:r w:rsidRPr="008539F6">
        <w:rPr>
          <w:spacing w:val="-3"/>
          <w:sz w:val="24"/>
          <w:szCs w:val="24"/>
        </w:rPr>
        <w:t xml:space="preserve"> (max. 90°C)</w:t>
      </w:r>
    </w:p>
    <w:p w14:paraId="6B646B4B" w14:textId="071B14E9" w:rsidR="001A56FA" w:rsidRDefault="001A56FA" w:rsidP="001A56FA">
      <w:pPr>
        <w:spacing w:before="60"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>ÚT</w:t>
      </w:r>
      <w:r>
        <w:rPr>
          <w:spacing w:val="-3"/>
          <w:sz w:val="24"/>
          <w:szCs w:val="24"/>
        </w:rPr>
        <w:t>2</w:t>
      </w:r>
      <w:r w:rsidRPr="008539F6">
        <w:rPr>
          <w:spacing w:val="-3"/>
          <w:sz w:val="24"/>
          <w:szCs w:val="24"/>
        </w:rPr>
        <w:t xml:space="preserve"> - zpátečka:</w:t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proofErr w:type="gramStart"/>
      <w:r>
        <w:rPr>
          <w:spacing w:val="-3"/>
          <w:sz w:val="24"/>
          <w:szCs w:val="24"/>
        </w:rPr>
        <w:t>70</w:t>
      </w:r>
      <w:r w:rsidRPr="008539F6">
        <w:rPr>
          <w:spacing w:val="-3"/>
          <w:sz w:val="24"/>
          <w:szCs w:val="24"/>
        </w:rPr>
        <w:t>°C</w:t>
      </w:r>
      <w:proofErr w:type="gramEnd"/>
    </w:p>
    <w:p w14:paraId="7FBF520B" w14:textId="4BAABE0F" w:rsidR="00446329" w:rsidRPr="008539F6" w:rsidRDefault="00446329" w:rsidP="008539F6">
      <w:pPr>
        <w:tabs>
          <w:tab w:val="left" w:pos="0"/>
          <w:tab w:val="left" w:pos="567"/>
        </w:tabs>
        <w:spacing w:before="120" w:line="260" w:lineRule="exact"/>
        <w:ind w:firstLine="567"/>
        <w:jc w:val="both"/>
        <w:rPr>
          <w:b/>
          <w:sz w:val="24"/>
          <w:szCs w:val="24"/>
        </w:rPr>
      </w:pPr>
      <w:r w:rsidRPr="008539F6">
        <w:rPr>
          <w:b/>
          <w:sz w:val="24"/>
          <w:szCs w:val="24"/>
        </w:rPr>
        <w:t>Rozvody teplé vody (TV a cirkulace)</w:t>
      </w:r>
    </w:p>
    <w:p w14:paraId="17A979A9" w14:textId="129E3AD6" w:rsidR="00552DB6" w:rsidRPr="008539F6" w:rsidRDefault="00552DB6" w:rsidP="008539F6">
      <w:pPr>
        <w:spacing w:before="60"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 xml:space="preserve">Materiál potrubí: </w:t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  <w:t>PPR (polypropylen) - objekty</w:t>
      </w:r>
    </w:p>
    <w:p w14:paraId="266FC726" w14:textId="087E826A" w:rsidR="00AB5AE0" w:rsidRPr="008539F6" w:rsidRDefault="00AB5AE0" w:rsidP="008539F6">
      <w:pPr>
        <w:spacing w:before="60"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>TV:</w:t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r w:rsidR="00552DB6" w:rsidRPr="008539F6">
        <w:rPr>
          <w:spacing w:val="-3"/>
          <w:sz w:val="24"/>
          <w:szCs w:val="24"/>
        </w:rPr>
        <w:t>DN</w:t>
      </w:r>
      <w:r w:rsidR="001A56FA">
        <w:rPr>
          <w:spacing w:val="-3"/>
          <w:sz w:val="24"/>
          <w:szCs w:val="24"/>
        </w:rPr>
        <w:t>32</w:t>
      </w:r>
      <w:r w:rsidR="00552DB6" w:rsidRPr="008539F6">
        <w:rPr>
          <w:spacing w:val="-3"/>
          <w:sz w:val="24"/>
          <w:szCs w:val="24"/>
        </w:rPr>
        <w:t>,</w:t>
      </w:r>
      <w:r w:rsidR="00AC5AE0">
        <w:rPr>
          <w:spacing w:val="-3"/>
          <w:sz w:val="24"/>
          <w:szCs w:val="24"/>
        </w:rPr>
        <w:t xml:space="preserve"> </w:t>
      </w:r>
      <w:r w:rsidR="00655647" w:rsidRPr="008539F6">
        <w:rPr>
          <w:spacing w:val="-3"/>
          <w:sz w:val="24"/>
          <w:szCs w:val="24"/>
        </w:rPr>
        <w:t>d</w:t>
      </w:r>
      <w:r w:rsidR="001A56FA">
        <w:rPr>
          <w:spacing w:val="-3"/>
          <w:sz w:val="24"/>
          <w:szCs w:val="24"/>
        </w:rPr>
        <w:t>40</w:t>
      </w:r>
      <w:r w:rsidR="00655647" w:rsidRPr="008539F6">
        <w:rPr>
          <w:spacing w:val="-3"/>
          <w:sz w:val="24"/>
          <w:szCs w:val="24"/>
        </w:rPr>
        <w:t xml:space="preserve"> </w:t>
      </w:r>
      <w:r w:rsidR="00952007" w:rsidRPr="008539F6">
        <w:rPr>
          <w:spacing w:val="-3"/>
          <w:sz w:val="24"/>
          <w:szCs w:val="24"/>
        </w:rPr>
        <w:t>mm</w:t>
      </w:r>
      <w:r w:rsidRPr="008539F6">
        <w:rPr>
          <w:spacing w:val="-3"/>
          <w:sz w:val="24"/>
          <w:szCs w:val="24"/>
        </w:rPr>
        <w:t xml:space="preserve"> </w:t>
      </w:r>
      <w:r w:rsidRPr="008539F6">
        <w:rPr>
          <w:spacing w:val="-3"/>
          <w:sz w:val="24"/>
          <w:szCs w:val="24"/>
        </w:rPr>
        <w:tab/>
      </w:r>
    </w:p>
    <w:p w14:paraId="2937D286" w14:textId="1A76CB77" w:rsidR="00AB5AE0" w:rsidRPr="008539F6" w:rsidRDefault="00AB5AE0" w:rsidP="008539F6">
      <w:pPr>
        <w:spacing w:before="60"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>Cirkulace:</w:t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r w:rsidR="00552DB6" w:rsidRPr="008539F6">
        <w:rPr>
          <w:spacing w:val="-3"/>
          <w:sz w:val="24"/>
          <w:szCs w:val="24"/>
        </w:rPr>
        <w:t>DN</w:t>
      </w:r>
      <w:r w:rsidR="001A56FA">
        <w:rPr>
          <w:spacing w:val="-3"/>
          <w:sz w:val="24"/>
          <w:szCs w:val="24"/>
        </w:rPr>
        <w:t>20</w:t>
      </w:r>
      <w:r w:rsidR="00552DB6" w:rsidRPr="008539F6">
        <w:rPr>
          <w:spacing w:val="-3"/>
          <w:sz w:val="24"/>
          <w:szCs w:val="24"/>
        </w:rPr>
        <w:t>,</w:t>
      </w:r>
      <w:r w:rsidR="00AC5AE0">
        <w:rPr>
          <w:spacing w:val="-3"/>
          <w:sz w:val="24"/>
          <w:szCs w:val="24"/>
        </w:rPr>
        <w:t xml:space="preserve"> </w:t>
      </w:r>
      <w:r w:rsidR="00655647" w:rsidRPr="008539F6">
        <w:rPr>
          <w:spacing w:val="-3"/>
          <w:sz w:val="24"/>
          <w:szCs w:val="24"/>
        </w:rPr>
        <w:t>d</w:t>
      </w:r>
      <w:r w:rsidR="001A56FA">
        <w:rPr>
          <w:spacing w:val="-3"/>
          <w:sz w:val="24"/>
          <w:szCs w:val="24"/>
        </w:rPr>
        <w:t>25</w:t>
      </w:r>
      <w:r w:rsidRPr="008539F6">
        <w:rPr>
          <w:spacing w:val="-3"/>
          <w:sz w:val="24"/>
          <w:szCs w:val="24"/>
        </w:rPr>
        <w:t xml:space="preserve"> mm</w:t>
      </w:r>
      <w:r w:rsidR="001A56FA">
        <w:rPr>
          <w:spacing w:val="-3"/>
          <w:sz w:val="24"/>
          <w:szCs w:val="24"/>
        </w:rPr>
        <w:t xml:space="preserve"> - </w:t>
      </w:r>
    </w:p>
    <w:p w14:paraId="5D9430BA" w14:textId="77777777" w:rsidR="00AB5AE0" w:rsidRPr="008539F6" w:rsidRDefault="00AB5AE0" w:rsidP="008539F6">
      <w:pPr>
        <w:spacing w:before="60"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>Teplota TV:</w:t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  <w:t xml:space="preserve">55 až </w:t>
      </w:r>
      <w:proofErr w:type="gramStart"/>
      <w:r w:rsidR="00E72635" w:rsidRPr="008539F6">
        <w:rPr>
          <w:spacing w:val="-3"/>
          <w:sz w:val="24"/>
          <w:szCs w:val="24"/>
        </w:rPr>
        <w:t>45</w:t>
      </w:r>
      <w:r w:rsidRPr="008539F6">
        <w:rPr>
          <w:spacing w:val="-3"/>
          <w:sz w:val="24"/>
          <w:szCs w:val="24"/>
        </w:rPr>
        <w:t>°C</w:t>
      </w:r>
      <w:proofErr w:type="gramEnd"/>
      <w:r w:rsidR="00655647" w:rsidRPr="008539F6">
        <w:rPr>
          <w:spacing w:val="-3"/>
          <w:sz w:val="24"/>
          <w:szCs w:val="24"/>
        </w:rPr>
        <w:t xml:space="preserve"> (</w:t>
      </w:r>
      <w:r w:rsidR="00E72635" w:rsidRPr="008539F6">
        <w:rPr>
          <w:spacing w:val="-3"/>
          <w:sz w:val="24"/>
          <w:szCs w:val="24"/>
        </w:rPr>
        <w:t>max. 65°C)</w:t>
      </w:r>
    </w:p>
    <w:p w14:paraId="191E2571" w14:textId="77777777" w:rsidR="00AB5AE0" w:rsidRPr="008539F6" w:rsidRDefault="00AB5AE0" w:rsidP="008539F6">
      <w:pPr>
        <w:spacing w:before="60"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>Cirkulace:</w:t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r w:rsidRPr="008539F6">
        <w:rPr>
          <w:spacing w:val="-3"/>
          <w:sz w:val="24"/>
          <w:szCs w:val="24"/>
        </w:rPr>
        <w:tab/>
      </w:r>
      <w:r w:rsidR="00E72635" w:rsidRPr="008539F6">
        <w:rPr>
          <w:spacing w:val="-3"/>
          <w:sz w:val="24"/>
          <w:szCs w:val="24"/>
        </w:rPr>
        <w:t>5</w:t>
      </w:r>
      <w:r w:rsidRPr="008539F6">
        <w:rPr>
          <w:spacing w:val="-3"/>
          <w:sz w:val="24"/>
          <w:szCs w:val="24"/>
        </w:rPr>
        <w:t xml:space="preserve">5 až </w:t>
      </w:r>
      <w:proofErr w:type="gramStart"/>
      <w:r w:rsidR="00E72635" w:rsidRPr="008539F6">
        <w:rPr>
          <w:spacing w:val="-3"/>
          <w:sz w:val="24"/>
          <w:szCs w:val="24"/>
        </w:rPr>
        <w:t>45</w:t>
      </w:r>
      <w:r w:rsidRPr="008539F6">
        <w:rPr>
          <w:spacing w:val="-3"/>
          <w:sz w:val="24"/>
          <w:szCs w:val="24"/>
        </w:rPr>
        <w:t>°C</w:t>
      </w:r>
      <w:proofErr w:type="gramEnd"/>
    </w:p>
    <w:p w14:paraId="20E94F96" w14:textId="77777777" w:rsidR="00446329" w:rsidRPr="008539F6" w:rsidRDefault="00446329" w:rsidP="008539F6">
      <w:pPr>
        <w:spacing w:line="260" w:lineRule="exact"/>
        <w:ind w:firstLine="567"/>
        <w:jc w:val="both"/>
        <w:rPr>
          <w:spacing w:val="-3"/>
          <w:sz w:val="24"/>
          <w:szCs w:val="24"/>
        </w:rPr>
      </w:pPr>
    </w:p>
    <w:p w14:paraId="70D8A91C" w14:textId="77777777" w:rsidR="00AB5AE0" w:rsidRPr="008539F6" w:rsidRDefault="00AB5AE0" w:rsidP="008539F6">
      <w:pPr>
        <w:pStyle w:val="Nadpis1"/>
        <w:spacing w:line="260" w:lineRule="exact"/>
        <w:rPr>
          <w:szCs w:val="24"/>
        </w:rPr>
      </w:pPr>
      <w:bookmarkStart w:id="83" w:name="_Toc72163691"/>
      <w:proofErr w:type="gramStart"/>
      <w:r w:rsidRPr="008539F6">
        <w:rPr>
          <w:szCs w:val="24"/>
        </w:rPr>
        <w:t>B.4  Dopravní</w:t>
      </w:r>
      <w:proofErr w:type="gramEnd"/>
      <w:r w:rsidRPr="008539F6">
        <w:rPr>
          <w:szCs w:val="24"/>
        </w:rPr>
        <w:t xml:space="preserve"> řešení</w:t>
      </w:r>
      <w:bookmarkEnd w:id="81"/>
      <w:bookmarkEnd w:id="83"/>
    </w:p>
    <w:p w14:paraId="42DC77E8" w14:textId="77777777" w:rsidR="00AB5AE0" w:rsidRPr="008539F6" w:rsidRDefault="00AB5AE0" w:rsidP="008539F6">
      <w:pPr>
        <w:spacing w:line="260" w:lineRule="exact"/>
        <w:ind w:firstLine="567"/>
        <w:jc w:val="both"/>
        <w:rPr>
          <w:b/>
          <w:bCs/>
          <w:sz w:val="24"/>
          <w:szCs w:val="24"/>
        </w:rPr>
      </w:pPr>
    </w:p>
    <w:p w14:paraId="1EF0C5F1" w14:textId="77777777" w:rsidR="00AB5AE0" w:rsidRPr="008539F6" w:rsidRDefault="00171E0C" w:rsidP="008539F6">
      <w:pPr>
        <w:spacing w:line="260" w:lineRule="exact"/>
        <w:ind w:firstLine="567"/>
        <w:jc w:val="both"/>
        <w:rPr>
          <w:spacing w:val="-3"/>
          <w:sz w:val="24"/>
          <w:szCs w:val="24"/>
        </w:rPr>
      </w:pPr>
      <w:r w:rsidRPr="008539F6">
        <w:rPr>
          <w:spacing w:val="-3"/>
          <w:sz w:val="24"/>
          <w:szCs w:val="24"/>
        </w:rPr>
        <w:t>Není řešeno</w:t>
      </w:r>
    </w:p>
    <w:p w14:paraId="15E66D0B" w14:textId="77777777" w:rsidR="00AB5AE0" w:rsidRPr="008539F6" w:rsidRDefault="00AB5AE0" w:rsidP="008539F6">
      <w:pPr>
        <w:spacing w:line="260" w:lineRule="exact"/>
        <w:ind w:firstLine="567"/>
        <w:jc w:val="both"/>
        <w:rPr>
          <w:spacing w:val="-3"/>
          <w:sz w:val="24"/>
          <w:szCs w:val="24"/>
        </w:rPr>
      </w:pPr>
    </w:p>
    <w:p w14:paraId="43F20534" w14:textId="77777777" w:rsidR="00AB5AE0" w:rsidRPr="008539F6" w:rsidRDefault="00AB5AE0" w:rsidP="008539F6">
      <w:pPr>
        <w:pStyle w:val="Nadpis1"/>
        <w:spacing w:line="260" w:lineRule="exact"/>
        <w:rPr>
          <w:szCs w:val="24"/>
        </w:rPr>
      </w:pPr>
      <w:bookmarkStart w:id="84" w:name="_Toc367870242"/>
      <w:bookmarkStart w:id="85" w:name="_Toc72163692"/>
      <w:proofErr w:type="gramStart"/>
      <w:r w:rsidRPr="008539F6">
        <w:rPr>
          <w:szCs w:val="24"/>
        </w:rPr>
        <w:t>B.5  Řešení</w:t>
      </w:r>
      <w:proofErr w:type="gramEnd"/>
      <w:r w:rsidRPr="008539F6">
        <w:rPr>
          <w:szCs w:val="24"/>
        </w:rPr>
        <w:t xml:space="preserve"> vegetace a souvisejících terénních úprav</w:t>
      </w:r>
      <w:bookmarkEnd w:id="84"/>
      <w:bookmarkEnd w:id="85"/>
    </w:p>
    <w:p w14:paraId="36BE7D4C" w14:textId="77777777" w:rsidR="00AB5AE0" w:rsidRPr="008539F6" w:rsidRDefault="00AB5AE0" w:rsidP="008539F6">
      <w:pPr>
        <w:pStyle w:val="Nadpis2"/>
        <w:spacing w:line="260" w:lineRule="exact"/>
      </w:pPr>
      <w:bookmarkStart w:id="86" w:name="_Toc367870243"/>
      <w:bookmarkStart w:id="87" w:name="_Toc72163693"/>
      <w:r w:rsidRPr="008539F6">
        <w:t>a)</w:t>
      </w:r>
      <w:r w:rsidR="00952007" w:rsidRPr="008539F6">
        <w:t xml:space="preserve"> </w:t>
      </w:r>
      <w:r w:rsidRPr="008539F6">
        <w:t>terénní úpravy</w:t>
      </w:r>
      <w:bookmarkEnd w:id="86"/>
      <w:bookmarkEnd w:id="87"/>
    </w:p>
    <w:p w14:paraId="44D9AB8B" w14:textId="0D22DBDE" w:rsidR="00AB5AE0" w:rsidRPr="008539F6" w:rsidRDefault="001A56FA" w:rsidP="008539F6">
      <w:pPr>
        <w:spacing w:after="120" w:line="260" w:lineRule="exact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>Na stavbě nebudou prováděny t</w:t>
      </w:r>
      <w:r w:rsidR="00AB5AE0" w:rsidRPr="008539F6">
        <w:rPr>
          <w:bCs/>
          <w:sz w:val="24"/>
          <w:szCs w:val="24"/>
        </w:rPr>
        <w:t>erénní úpravy.</w:t>
      </w:r>
    </w:p>
    <w:p w14:paraId="6D96D2A7" w14:textId="77777777" w:rsidR="00AB5AE0" w:rsidRPr="008539F6" w:rsidRDefault="00AB5AE0" w:rsidP="008539F6">
      <w:pPr>
        <w:pStyle w:val="Nadpis2"/>
        <w:spacing w:line="260" w:lineRule="exact"/>
      </w:pPr>
      <w:bookmarkStart w:id="88" w:name="_Toc367870244"/>
      <w:bookmarkStart w:id="89" w:name="_Toc72163694"/>
      <w:r w:rsidRPr="008539F6">
        <w:t>b)</w:t>
      </w:r>
      <w:r w:rsidR="00952007" w:rsidRPr="008539F6">
        <w:t xml:space="preserve"> </w:t>
      </w:r>
      <w:r w:rsidRPr="008539F6">
        <w:t>použité vegetační prvky</w:t>
      </w:r>
      <w:bookmarkEnd w:id="88"/>
      <w:bookmarkEnd w:id="89"/>
    </w:p>
    <w:p w14:paraId="4E1C44BB" w14:textId="77777777" w:rsidR="00AB5AE0" w:rsidRPr="008539F6" w:rsidRDefault="00AB5AE0" w:rsidP="008539F6">
      <w:pPr>
        <w:spacing w:after="120"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Na stavbě nebudou použita vegetační opatření.</w:t>
      </w:r>
    </w:p>
    <w:p w14:paraId="2D85A1B6" w14:textId="77777777" w:rsidR="00AB5AE0" w:rsidRPr="008539F6" w:rsidRDefault="00AB5AE0" w:rsidP="008539F6">
      <w:pPr>
        <w:pStyle w:val="Nadpis2"/>
        <w:spacing w:line="260" w:lineRule="exact"/>
      </w:pPr>
      <w:bookmarkStart w:id="90" w:name="_Toc367870245"/>
      <w:bookmarkStart w:id="91" w:name="_Toc72163695"/>
      <w:r w:rsidRPr="008539F6">
        <w:t>c)</w:t>
      </w:r>
      <w:r w:rsidR="00952007" w:rsidRPr="008539F6">
        <w:t xml:space="preserve"> </w:t>
      </w:r>
      <w:r w:rsidRPr="008539F6">
        <w:t>biotechnická opatření</w:t>
      </w:r>
      <w:bookmarkEnd w:id="90"/>
      <w:bookmarkEnd w:id="91"/>
    </w:p>
    <w:p w14:paraId="7A998C8B" w14:textId="77777777" w:rsidR="00AB5AE0" w:rsidRPr="008539F6" w:rsidRDefault="00AB5AE0" w:rsidP="008539F6">
      <w:pPr>
        <w:spacing w:after="120"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Na stavbě nebudou použita biotechnická opatření.</w:t>
      </w:r>
    </w:p>
    <w:p w14:paraId="6FB1B0FF" w14:textId="77777777" w:rsidR="00AB5AE0" w:rsidRPr="008539F6" w:rsidRDefault="00AB5AE0" w:rsidP="008539F6">
      <w:pPr>
        <w:pStyle w:val="Nadpis1"/>
        <w:spacing w:line="260" w:lineRule="exact"/>
        <w:rPr>
          <w:szCs w:val="24"/>
        </w:rPr>
      </w:pPr>
      <w:bookmarkStart w:id="92" w:name="_Toc367870246"/>
      <w:bookmarkStart w:id="93" w:name="_Toc72163696"/>
      <w:proofErr w:type="gramStart"/>
      <w:r w:rsidRPr="008539F6">
        <w:rPr>
          <w:bCs/>
          <w:szCs w:val="24"/>
        </w:rPr>
        <w:t xml:space="preserve">B.6  </w:t>
      </w:r>
      <w:r w:rsidRPr="008539F6">
        <w:rPr>
          <w:szCs w:val="24"/>
        </w:rPr>
        <w:t>Popis</w:t>
      </w:r>
      <w:proofErr w:type="gramEnd"/>
      <w:r w:rsidRPr="008539F6">
        <w:rPr>
          <w:szCs w:val="24"/>
        </w:rPr>
        <w:t xml:space="preserve"> vlivů stavby na životní prostředí a jeho ochrana</w:t>
      </w:r>
      <w:bookmarkEnd w:id="92"/>
      <w:bookmarkEnd w:id="93"/>
    </w:p>
    <w:p w14:paraId="0EE01443" w14:textId="77777777" w:rsidR="00AB5AE0" w:rsidRPr="008539F6" w:rsidRDefault="00AB5AE0" w:rsidP="008539F6">
      <w:pPr>
        <w:pStyle w:val="Nadpis2"/>
        <w:spacing w:line="260" w:lineRule="exact"/>
      </w:pPr>
      <w:bookmarkStart w:id="94" w:name="_Toc367870247"/>
      <w:bookmarkStart w:id="95" w:name="_Toc72163697"/>
      <w:r w:rsidRPr="008539F6">
        <w:t>a)</w:t>
      </w:r>
      <w:r w:rsidR="00952007" w:rsidRPr="008539F6">
        <w:t xml:space="preserve"> </w:t>
      </w:r>
      <w:r w:rsidRPr="008539F6">
        <w:t>vliv stavby na životní prostředí – ovzduší, hluk, voda, odpady a půda</w:t>
      </w:r>
      <w:bookmarkEnd w:id="94"/>
      <w:bookmarkEnd w:id="95"/>
    </w:p>
    <w:p w14:paraId="4575F7ED" w14:textId="3B0F23F2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 xml:space="preserve">Vzhledem k tomu, že se jedná o </w:t>
      </w:r>
      <w:r w:rsidR="00EF6DAC">
        <w:rPr>
          <w:bCs/>
          <w:sz w:val="24"/>
          <w:szCs w:val="24"/>
        </w:rPr>
        <w:t>stávající stavbu</w:t>
      </w:r>
      <w:r w:rsidRPr="008539F6">
        <w:rPr>
          <w:bCs/>
          <w:sz w:val="24"/>
          <w:szCs w:val="24"/>
        </w:rPr>
        <w:t>, nebude mít stavba vliv na životní prostředí.</w:t>
      </w:r>
      <w:bookmarkStart w:id="96" w:name="_Toc367870248"/>
    </w:p>
    <w:p w14:paraId="59B511AB" w14:textId="77777777" w:rsidR="00AB5AE0" w:rsidRPr="008539F6" w:rsidRDefault="00AB5AE0" w:rsidP="008539F6">
      <w:pPr>
        <w:pStyle w:val="Nadpis2"/>
        <w:spacing w:line="260" w:lineRule="exact"/>
      </w:pPr>
      <w:bookmarkStart w:id="97" w:name="_Toc72163698"/>
      <w:r w:rsidRPr="008539F6">
        <w:t>b) vliv stavby na přírodu a krajinu (ochrana dřevin, ochrana památných stromů, ochrana rostlin a živočichů apod.), zachování ekologických funkcí a vazeb v krajině</w:t>
      </w:r>
      <w:bookmarkEnd w:id="96"/>
      <w:bookmarkEnd w:id="97"/>
    </w:p>
    <w:p w14:paraId="1273AD68" w14:textId="77777777" w:rsidR="00AB5AE0" w:rsidRPr="008539F6" w:rsidRDefault="00AB5AE0" w:rsidP="008539F6">
      <w:pPr>
        <w:spacing w:line="260" w:lineRule="exact"/>
        <w:ind w:firstLine="567"/>
        <w:jc w:val="both"/>
        <w:rPr>
          <w:snapToGrid w:val="0"/>
          <w:sz w:val="24"/>
          <w:szCs w:val="24"/>
        </w:rPr>
      </w:pPr>
      <w:r w:rsidRPr="008539F6">
        <w:rPr>
          <w:snapToGrid w:val="0"/>
          <w:sz w:val="24"/>
          <w:szCs w:val="24"/>
        </w:rPr>
        <w:t>Pozemek stavby není součástí žádného ochranného pásma.</w:t>
      </w:r>
      <w:bookmarkStart w:id="98" w:name="_Toc367870249"/>
    </w:p>
    <w:p w14:paraId="7AD031EA" w14:textId="77777777" w:rsidR="00AB5AE0" w:rsidRPr="008539F6" w:rsidRDefault="00AB5AE0" w:rsidP="008539F6">
      <w:pPr>
        <w:pStyle w:val="Nadpis2"/>
        <w:spacing w:line="260" w:lineRule="exact"/>
      </w:pPr>
      <w:bookmarkStart w:id="99" w:name="_Toc72163699"/>
      <w:r w:rsidRPr="008539F6">
        <w:t>c) vliv stavby na soustavu chráněných území Natura 2000</w:t>
      </w:r>
      <w:bookmarkEnd w:id="98"/>
      <w:bookmarkEnd w:id="99"/>
    </w:p>
    <w:p w14:paraId="2017D49F" w14:textId="77777777" w:rsidR="00AB5AE0" w:rsidRPr="008539F6" w:rsidRDefault="00AB5AE0" w:rsidP="008539F6">
      <w:pPr>
        <w:spacing w:line="260" w:lineRule="exact"/>
        <w:ind w:firstLine="567"/>
        <w:jc w:val="both"/>
        <w:rPr>
          <w:snapToGrid w:val="0"/>
          <w:sz w:val="24"/>
          <w:szCs w:val="24"/>
        </w:rPr>
      </w:pPr>
      <w:r w:rsidRPr="008539F6">
        <w:rPr>
          <w:snapToGrid w:val="0"/>
          <w:sz w:val="24"/>
          <w:szCs w:val="24"/>
        </w:rPr>
        <w:t>Navržená stavba nebude mít vliv na soustavu chráněných území Natura 2000.</w:t>
      </w:r>
      <w:bookmarkStart w:id="100" w:name="_Toc367870250"/>
    </w:p>
    <w:p w14:paraId="4D449FEB" w14:textId="77777777" w:rsidR="00AB5AE0" w:rsidRPr="008539F6" w:rsidRDefault="00AB5AE0" w:rsidP="008539F6">
      <w:pPr>
        <w:pStyle w:val="Nadpis2"/>
        <w:spacing w:line="260" w:lineRule="exact"/>
      </w:pPr>
      <w:bookmarkStart w:id="101" w:name="_Toc72163700"/>
      <w:r w:rsidRPr="008539F6">
        <w:t>d) návrh zohlednění podmínek ze závěrů zjišťovacího řízení nebo stanoviska EIA</w:t>
      </w:r>
      <w:bookmarkEnd w:id="100"/>
      <w:bookmarkEnd w:id="101"/>
    </w:p>
    <w:p w14:paraId="5CB7D123" w14:textId="77777777" w:rsidR="00AB5AE0" w:rsidRPr="008539F6" w:rsidRDefault="00AB5AE0" w:rsidP="008539F6">
      <w:pPr>
        <w:spacing w:line="260" w:lineRule="exact"/>
        <w:ind w:firstLine="567"/>
        <w:jc w:val="both"/>
        <w:rPr>
          <w:snapToGrid w:val="0"/>
          <w:sz w:val="24"/>
          <w:szCs w:val="24"/>
        </w:rPr>
      </w:pPr>
      <w:r w:rsidRPr="008539F6">
        <w:rPr>
          <w:snapToGrid w:val="0"/>
          <w:sz w:val="24"/>
          <w:szCs w:val="24"/>
        </w:rPr>
        <w:t>Charakterem stavebního záměru není vyžadováno. Není řešeno.</w:t>
      </w:r>
    </w:p>
    <w:p w14:paraId="12DF1298" w14:textId="77777777" w:rsidR="00AB5AE0" w:rsidRPr="008539F6" w:rsidRDefault="00AB5AE0" w:rsidP="008539F6">
      <w:pPr>
        <w:pStyle w:val="Nadpis2"/>
        <w:spacing w:line="260" w:lineRule="exact"/>
      </w:pPr>
      <w:bookmarkStart w:id="102" w:name="_Toc367870251"/>
      <w:bookmarkStart w:id="103" w:name="_Toc72163701"/>
      <w:r w:rsidRPr="008539F6">
        <w:lastRenderedPageBreak/>
        <w:t>e)</w:t>
      </w:r>
      <w:r w:rsidR="00952007" w:rsidRPr="008539F6">
        <w:t xml:space="preserve"> </w:t>
      </w:r>
      <w:r w:rsidRPr="008539F6">
        <w:t>navrhovaná ochranná a bezpečnostní pásma, rozsah omezení a podmínky ochrany podle jiných právních předpisů</w:t>
      </w:r>
      <w:bookmarkEnd w:id="102"/>
      <w:bookmarkEnd w:id="103"/>
    </w:p>
    <w:p w14:paraId="12D913C2" w14:textId="77777777" w:rsidR="00AB5AE0" w:rsidRPr="008539F6" w:rsidRDefault="00AB5AE0" w:rsidP="008539F6">
      <w:pPr>
        <w:spacing w:after="120" w:line="260" w:lineRule="exact"/>
        <w:ind w:firstLine="567"/>
        <w:rPr>
          <w:sz w:val="24"/>
          <w:szCs w:val="24"/>
        </w:rPr>
      </w:pPr>
      <w:r w:rsidRPr="008539F6">
        <w:rPr>
          <w:sz w:val="24"/>
          <w:szCs w:val="24"/>
        </w:rPr>
        <w:t>Navržená stavba nebude výrazně negativně ovlivňovat stávající prostředí.</w:t>
      </w:r>
    </w:p>
    <w:p w14:paraId="2CD7B858" w14:textId="77777777" w:rsidR="00AB5AE0" w:rsidRPr="008539F6" w:rsidRDefault="00AB5AE0" w:rsidP="008539F6">
      <w:pPr>
        <w:spacing w:after="120"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Pozemek dle dostupných informací nespadá do žádného chráněného území. Pokud se v následném řízení objeví požadavek na zapracování zvláštních ochranných opatření ze strany dotčených orgánů, budou tyto respektovány a implementovány do projektové dokumentace. Dílčí ochranná pásma definovaná vedením inženýrských sítí budou v souladu s platnými ČSN respektována. </w:t>
      </w:r>
    </w:p>
    <w:p w14:paraId="6AC7CAA7" w14:textId="77777777" w:rsidR="00AB5AE0" w:rsidRPr="008539F6" w:rsidRDefault="00AB5AE0" w:rsidP="008539F6">
      <w:pPr>
        <w:pStyle w:val="Nadpis1"/>
        <w:spacing w:before="200" w:line="260" w:lineRule="exact"/>
        <w:rPr>
          <w:szCs w:val="24"/>
        </w:rPr>
      </w:pPr>
      <w:bookmarkStart w:id="104" w:name="_Toc367870252"/>
      <w:bookmarkStart w:id="105" w:name="_Toc72163702"/>
      <w:proofErr w:type="gramStart"/>
      <w:r w:rsidRPr="008539F6">
        <w:rPr>
          <w:bCs/>
          <w:szCs w:val="24"/>
        </w:rPr>
        <w:t xml:space="preserve">B.7  </w:t>
      </w:r>
      <w:r w:rsidRPr="008539F6">
        <w:rPr>
          <w:szCs w:val="24"/>
        </w:rPr>
        <w:t>Ochrana</w:t>
      </w:r>
      <w:proofErr w:type="gramEnd"/>
      <w:r w:rsidRPr="008539F6">
        <w:rPr>
          <w:szCs w:val="24"/>
        </w:rPr>
        <w:t xml:space="preserve"> obyvatelstva</w:t>
      </w:r>
      <w:bookmarkEnd w:id="104"/>
      <w:bookmarkEnd w:id="105"/>
    </w:p>
    <w:p w14:paraId="0DB65BD6" w14:textId="77777777" w:rsidR="00AB5AE0" w:rsidRPr="008539F6" w:rsidRDefault="00AB5AE0" w:rsidP="00E72BE2">
      <w:pPr>
        <w:spacing w:before="120"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Nejsou navržena žádná zvláštní opatření. </w:t>
      </w:r>
    </w:p>
    <w:p w14:paraId="27EDDB43" w14:textId="77777777" w:rsidR="00952007" w:rsidRPr="008539F6" w:rsidRDefault="00AB5AE0" w:rsidP="008539F6">
      <w:pPr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Navrhovaná stavba není součástí zóny havarijního plánování. Navrhovaná stavba nevyžaduje, vzhledem k charakteru provozu, preventivní havarijní plánování. Navržená stavba není vzhledem ke svému dispozičnímu a konstrukčnímu charakteru využitelná pro ukrytí osob. V řešeném území nejsou umístěny prvky systému civilní ochrany – kryty, sirény apod.  </w:t>
      </w:r>
    </w:p>
    <w:p w14:paraId="6B016DDB" w14:textId="77777777" w:rsidR="00AB5AE0" w:rsidRPr="008539F6" w:rsidRDefault="00AB5AE0" w:rsidP="008539F6">
      <w:pPr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>Pro danou stavbu není z hlediska umístění potenciálních zdrojů posuzovat problematiku ochrany obyvatelstva (dle z. 380/2002 Sb.)</w:t>
      </w:r>
    </w:p>
    <w:p w14:paraId="30E06691" w14:textId="77777777" w:rsidR="00AB5AE0" w:rsidRPr="008539F6" w:rsidRDefault="00AB5AE0" w:rsidP="008539F6">
      <w:pPr>
        <w:pStyle w:val="Nadpis1"/>
        <w:spacing w:before="200" w:line="260" w:lineRule="exact"/>
        <w:rPr>
          <w:szCs w:val="24"/>
        </w:rPr>
      </w:pPr>
      <w:bookmarkStart w:id="106" w:name="_Toc367870253"/>
      <w:bookmarkStart w:id="107" w:name="_Toc72163703"/>
      <w:proofErr w:type="gramStart"/>
      <w:r w:rsidRPr="008539F6">
        <w:rPr>
          <w:bCs/>
          <w:szCs w:val="24"/>
        </w:rPr>
        <w:t xml:space="preserve">B.8  </w:t>
      </w:r>
      <w:r w:rsidRPr="008539F6">
        <w:rPr>
          <w:szCs w:val="24"/>
        </w:rPr>
        <w:t>Zásady</w:t>
      </w:r>
      <w:proofErr w:type="gramEnd"/>
      <w:r w:rsidRPr="008539F6">
        <w:rPr>
          <w:szCs w:val="24"/>
        </w:rPr>
        <w:t xml:space="preserve"> organizace výstavby</w:t>
      </w:r>
      <w:bookmarkEnd w:id="106"/>
      <w:bookmarkEnd w:id="107"/>
    </w:p>
    <w:p w14:paraId="2BCB93D5" w14:textId="77777777" w:rsidR="00AB5AE0" w:rsidRPr="008539F6" w:rsidRDefault="00AB5AE0" w:rsidP="008539F6">
      <w:pPr>
        <w:pStyle w:val="Nadpis2"/>
        <w:spacing w:line="260" w:lineRule="exact"/>
      </w:pPr>
      <w:bookmarkStart w:id="108" w:name="_Toc367870254"/>
      <w:bookmarkStart w:id="109" w:name="_Toc72163704"/>
      <w:r w:rsidRPr="008539F6">
        <w:t>a)</w:t>
      </w:r>
      <w:r w:rsidR="00952007" w:rsidRPr="008539F6">
        <w:t xml:space="preserve"> </w:t>
      </w:r>
      <w:r w:rsidRPr="008539F6">
        <w:t>potřeby a spotřeby rozhodujících médií a hmot, jejich zajištění</w:t>
      </w:r>
      <w:bookmarkEnd w:id="108"/>
      <w:bookmarkEnd w:id="109"/>
    </w:p>
    <w:p w14:paraId="3BF30CF9" w14:textId="1263F3DF" w:rsidR="00AB5AE0" w:rsidRPr="008539F6" w:rsidRDefault="00AB5AE0" w:rsidP="008539F6">
      <w:pPr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>Elektrická energie bude zajištěna elektrocentrálou</w:t>
      </w:r>
      <w:r w:rsidR="00AC5AE0">
        <w:rPr>
          <w:sz w:val="24"/>
          <w:szCs w:val="24"/>
        </w:rPr>
        <w:t>, případně dle domluvy s investorem z</w:t>
      </w:r>
      <w:r w:rsidR="00EF6DAC">
        <w:rPr>
          <w:sz w:val="24"/>
          <w:szCs w:val="24"/>
        </w:rPr>
        <w:t> místnosti plynové kotelny</w:t>
      </w:r>
      <w:r w:rsidRPr="008539F6">
        <w:rPr>
          <w:sz w:val="24"/>
          <w:szCs w:val="24"/>
        </w:rPr>
        <w:t xml:space="preserve">. </w:t>
      </w:r>
    </w:p>
    <w:p w14:paraId="764587F1" w14:textId="77777777" w:rsidR="00AB5AE0" w:rsidRPr="008539F6" w:rsidRDefault="00AB5AE0" w:rsidP="008539F6">
      <w:pPr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>Vod</w:t>
      </w:r>
      <w:r w:rsidR="00952007" w:rsidRPr="008539F6">
        <w:rPr>
          <w:sz w:val="24"/>
          <w:szCs w:val="24"/>
        </w:rPr>
        <w:t>u</w:t>
      </w:r>
      <w:r w:rsidRPr="008539F6">
        <w:rPr>
          <w:sz w:val="24"/>
          <w:szCs w:val="24"/>
        </w:rPr>
        <w:t xml:space="preserve"> pro technologické a stavební účely na venkovní stavbu </w:t>
      </w:r>
      <w:r w:rsidR="00952007" w:rsidRPr="008539F6">
        <w:rPr>
          <w:sz w:val="24"/>
          <w:szCs w:val="24"/>
        </w:rPr>
        <w:t>si</w:t>
      </w:r>
      <w:r w:rsidRPr="008539F6">
        <w:rPr>
          <w:sz w:val="24"/>
          <w:szCs w:val="24"/>
        </w:rPr>
        <w:t xml:space="preserve"> </w:t>
      </w:r>
      <w:r w:rsidR="00952007" w:rsidRPr="008539F6">
        <w:rPr>
          <w:bCs/>
          <w:sz w:val="24"/>
          <w:szCs w:val="24"/>
        </w:rPr>
        <w:t>zajistí prováděcí firma</w:t>
      </w:r>
      <w:r w:rsidRPr="008539F6">
        <w:rPr>
          <w:sz w:val="24"/>
          <w:szCs w:val="24"/>
        </w:rPr>
        <w:t>.</w:t>
      </w:r>
    </w:p>
    <w:p w14:paraId="647D206F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Pohonné hmoty si zajistí prováděcí firma na své náklady. Pohonné hmoty budou pracovníky prováděcí firmy dováženy dle momentální potřeby a budou hned použity pro vybrané stavební stroje a nástroje. Pohonné hmoty NEBUDOU skladovány na místě stavby nebo v prostoru zařízení staveniště.</w:t>
      </w:r>
    </w:p>
    <w:p w14:paraId="2F523424" w14:textId="22C7C79C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 xml:space="preserve">Stavební hmoty a materiály budou na místo stavby dováženy průběžně prováděcí firmou. Pro skladování materiálu bude </w:t>
      </w:r>
      <w:r w:rsidR="00EF6DAC">
        <w:rPr>
          <w:bCs/>
          <w:sz w:val="24"/>
          <w:szCs w:val="24"/>
        </w:rPr>
        <w:t xml:space="preserve">využit prostor výměníkové stanice. Pro dočasné skladování odpadu bude </w:t>
      </w:r>
      <w:r w:rsidRPr="008539F6">
        <w:rPr>
          <w:bCs/>
          <w:sz w:val="24"/>
          <w:szCs w:val="24"/>
        </w:rPr>
        <w:t xml:space="preserve">použita venkovní plocha, </w:t>
      </w:r>
      <w:r w:rsidR="00EF6DAC">
        <w:rPr>
          <w:bCs/>
          <w:sz w:val="24"/>
          <w:szCs w:val="24"/>
        </w:rPr>
        <w:t xml:space="preserve">kde bude umístěn dle požadavku </w:t>
      </w:r>
      <w:r w:rsidRPr="008539F6">
        <w:rPr>
          <w:bCs/>
          <w:sz w:val="24"/>
          <w:szCs w:val="24"/>
        </w:rPr>
        <w:t>skladovací kontejner</w:t>
      </w:r>
      <w:r w:rsidR="00EF6DAC">
        <w:rPr>
          <w:bCs/>
          <w:sz w:val="24"/>
          <w:szCs w:val="24"/>
        </w:rPr>
        <w:t>.</w:t>
      </w:r>
    </w:p>
    <w:p w14:paraId="7FA71F8B" w14:textId="77777777" w:rsidR="00AB5AE0" w:rsidRPr="008539F6" w:rsidRDefault="00AB5AE0" w:rsidP="008539F6">
      <w:pPr>
        <w:pStyle w:val="Nadpis2"/>
        <w:spacing w:before="160" w:line="260" w:lineRule="exact"/>
      </w:pPr>
      <w:bookmarkStart w:id="110" w:name="_Toc367870255"/>
      <w:bookmarkStart w:id="111" w:name="_Toc72163705"/>
      <w:r w:rsidRPr="008539F6">
        <w:t>b)</w:t>
      </w:r>
      <w:r w:rsidR="00952007" w:rsidRPr="008539F6">
        <w:t xml:space="preserve"> </w:t>
      </w:r>
      <w:r w:rsidRPr="008539F6">
        <w:t>odvodnění staveniště</w:t>
      </w:r>
      <w:bookmarkEnd w:id="110"/>
      <w:bookmarkEnd w:id="111"/>
    </w:p>
    <w:p w14:paraId="497208DD" w14:textId="11D958A5" w:rsidR="00AB5AE0" w:rsidRPr="008539F6" w:rsidRDefault="00EF6DAC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Odvodnění staveniště není řešeno. Jedná se stávající objekt.</w:t>
      </w:r>
      <w:r w:rsidR="00AB5AE0" w:rsidRPr="008539F6">
        <w:rPr>
          <w:bCs/>
          <w:sz w:val="24"/>
          <w:szCs w:val="24"/>
        </w:rPr>
        <w:t xml:space="preserve"> </w:t>
      </w:r>
    </w:p>
    <w:p w14:paraId="36CAD962" w14:textId="77777777" w:rsidR="00AB5AE0" w:rsidRPr="008539F6" w:rsidRDefault="00AB5AE0" w:rsidP="008539F6">
      <w:pPr>
        <w:pStyle w:val="Nadpis2"/>
        <w:spacing w:before="160" w:line="260" w:lineRule="exact"/>
      </w:pPr>
      <w:bookmarkStart w:id="112" w:name="_Toc367870256"/>
      <w:bookmarkStart w:id="113" w:name="_Toc72163706"/>
      <w:r w:rsidRPr="008539F6">
        <w:t>c)</w:t>
      </w:r>
      <w:r w:rsidR="00952007" w:rsidRPr="008539F6">
        <w:t xml:space="preserve"> </w:t>
      </w:r>
      <w:r w:rsidRPr="008539F6">
        <w:t>napojení staveniště na stávající dopravní a technickou infrastrukturu</w:t>
      </w:r>
      <w:bookmarkEnd w:id="112"/>
      <w:bookmarkEnd w:id="113"/>
    </w:p>
    <w:p w14:paraId="1F0248F0" w14:textId="7DBE7A2C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Napojení na stávající a technickou infrastrukturu není uvažováno. Příjezdové komunikace k místu stavby je stávající, po místních komunikacích</w:t>
      </w:r>
      <w:r w:rsidR="00EF6DAC">
        <w:rPr>
          <w:bCs/>
          <w:sz w:val="24"/>
          <w:szCs w:val="24"/>
        </w:rPr>
        <w:t xml:space="preserve"> (ul. Blatenská). </w:t>
      </w:r>
      <w:r w:rsidRPr="008539F6">
        <w:rPr>
          <w:bCs/>
          <w:sz w:val="24"/>
          <w:szCs w:val="24"/>
        </w:rPr>
        <w:t>V průběhu výstavby bude stavbyvedoucí ručit za čistotu veřejné komunikace (od případných nečistot z provozu staveniště).</w:t>
      </w:r>
    </w:p>
    <w:p w14:paraId="35B4EBD7" w14:textId="77777777" w:rsidR="00AB5AE0" w:rsidRPr="008539F6" w:rsidRDefault="00AB5AE0" w:rsidP="008539F6">
      <w:pPr>
        <w:pStyle w:val="Nadpis2"/>
        <w:spacing w:before="160" w:line="260" w:lineRule="exact"/>
      </w:pPr>
      <w:bookmarkStart w:id="114" w:name="_Toc367870257"/>
      <w:bookmarkStart w:id="115" w:name="_Toc72163707"/>
      <w:r w:rsidRPr="008539F6">
        <w:t>d)</w:t>
      </w:r>
      <w:r w:rsidR="00952007" w:rsidRPr="008539F6">
        <w:t xml:space="preserve"> </w:t>
      </w:r>
      <w:r w:rsidRPr="008539F6">
        <w:t>vliv provádění stavby na okolní stavby a pozemky</w:t>
      </w:r>
      <w:bookmarkEnd w:id="114"/>
      <w:bookmarkEnd w:id="115"/>
    </w:p>
    <w:p w14:paraId="78C869F9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Navržená stavba nebude mít během jejího provádění zásadní vliv na okolní stavby a pozemky. Provádění stavebních prací může částečně negativně ovlivňovat okolí dopravou nákladními automobily zásobujícími stavbu stavebními materiál, mobilními mechanizmy provádějící zemní, montážní a podobné práce.</w:t>
      </w:r>
    </w:p>
    <w:p w14:paraId="3B96719D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Stavba je povinna udržovat používané příjezdové čisté, bez nánosu zemin a zajistit výjezd čistých vozidel ze stavby.</w:t>
      </w:r>
    </w:p>
    <w:p w14:paraId="15916D21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 xml:space="preserve">Při výstavbě budou používány stroje se sníženou hlučností v dobrém technickém stavu, v pracovních přestávkách budou stroje vypínány, v době 22.00 - 6.00 hodin nebudou stavební práce prováděny. </w:t>
      </w:r>
    </w:p>
    <w:p w14:paraId="07143D58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 xml:space="preserve">Zhotovitel stavby je povinen při realizaci stavby postupovat tak, aby vliv provádění stavby na okolí nebyl významný. </w:t>
      </w:r>
    </w:p>
    <w:p w14:paraId="2E820ED8" w14:textId="77777777" w:rsidR="00AB5AE0" w:rsidRPr="008539F6" w:rsidRDefault="00AB5AE0" w:rsidP="008539F6">
      <w:pPr>
        <w:pStyle w:val="Nadpis2"/>
        <w:spacing w:line="260" w:lineRule="exact"/>
      </w:pPr>
      <w:bookmarkStart w:id="116" w:name="_Toc367870258"/>
      <w:bookmarkStart w:id="117" w:name="_Toc72163708"/>
      <w:r w:rsidRPr="008539F6">
        <w:lastRenderedPageBreak/>
        <w:t>e)</w:t>
      </w:r>
      <w:r w:rsidR="00952007" w:rsidRPr="008539F6">
        <w:t xml:space="preserve"> </w:t>
      </w:r>
      <w:r w:rsidRPr="008539F6">
        <w:t>ochrana okolí staveniště a požadavky na související asanace, demolice, kácení dřevin</w:t>
      </w:r>
      <w:bookmarkEnd w:id="116"/>
      <w:bookmarkEnd w:id="117"/>
    </w:p>
    <w:p w14:paraId="5BF09050" w14:textId="25D6A6AC" w:rsidR="00AB5AE0" w:rsidRPr="008539F6" w:rsidRDefault="00AB5AE0" w:rsidP="009D2AB5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 xml:space="preserve">Staveniště a stávající plochy pro skladování materiálu a jeho přesuny nemusí být nijak stavebně upravovány. Je doporučeno před umístěním zařízením staveniště si toto místo prohlédnout. </w:t>
      </w:r>
    </w:p>
    <w:p w14:paraId="4E772FA3" w14:textId="77777777" w:rsidR="0075181E" w:rsidRDefault="00AB5AE0" w:rsidP="009D2AB5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Pokud při manipulaci se stavebním materiálem dojde k poškození stávajících zelených nebo zpevněných ploch budou tyto po dokončení stavebních prací uvedeny do původního stavu.</w:t>
      </w:r>
    </w:p>
    <w:p w14:paraId="36DD4194" w14:textId="4D6B5D80" w:rsidR="00AB5AE0" w:rsidRDefault="0075181E" w:rsidP="009D2AB5">
      <w:pPr>
        <w:spacing w:line="260" w:lineRule="exact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</w:t>
      </w:r>
      <w:r w:rsidR="00AB5AE0" w:rsidRPr="008539F6">
        <w:rPr>
          <w:bCs/>
          <w:sz w:val="24"/>
          <w:szCs w:val="24"/>
        </w:rPr>
        <w:t> rámci stavby nebudou prováděny asanace.</w:t>
      </w:r>
    </w:p>
    <w:p w14:paraId="61298F8C" w14:textId="77777777" w:rsidR="00AB5AE0" w:rsidRPr="008539F6" w:rsidRDefault="00AB5AE0" w:rsidP="009D2AB5">
      <w:pPr>
        <w:pStyle w:val="Nadpis2"/>
        <w:spacing w:line="260" w:lineRule="exact"/>
      </w:pPr>
      <w:bookmarkStart w:id="118" w:name="_Toc367870259"/>
      <w:bookmarkStart w:id="119" w:name="_Toc72163709"/>
      <w:r w:rsidRPr="008539F6">
        <w:t>f)</w:t>
      </w:r>
      <w:r w:rsidR="00952007" w:rsidRPr="008539F6">
        <w:t xml:space="preserve"> </w:t>
      </w:r>
      <w:r w:rsidRPr="008539F6">
        <w:t>maximální zábory pro staveniště (dočasné / trvalé)</w:t>
      </w:r>
      <w:bookmarkEnd w:id="118"/>
      <w:bookmarkEnd w:id="119"/>
    </w:p>
    <w:p w14:paraId="1274E453" w14:textId="2318E900" w:rsidR="00AB5AE0" w:rsidRPr="008539F6" w:rsidRDefault="00AB5AE0" w:rsidP="009D2AB5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>Stavba bude realizována na pozemcích ve vlastnictví</w:t>
      </w:r>
      <w:r w:rsidR="0083608E" w:rsidRPr="0083608E">
        <w:t xml:space="preserve"> </w:t>
      </w:r>
      <w:r w:rsidR="0083608E" w:rsidRPr="0083608E">
        <w:rPr>
          <w:sz w:val="24"/>
          <w:szCs w:val="24"/>
        </w:rPr>
        <w:t>Statutární město Chomutov, Zborovská 4602, Chomutov</w:t>
      </w:r>
      <w:r w:rsidR="0083608E">
        <w:rPr>
          <w:sz w:val="24"/>
          <w:szCs w:val="24"/>
        </w:rPr>
        <w:t>.</w:t>
      </w:r>
    </w:p>
    <w:p w14:paraId="159381A7" w14:textId="39A2C527" w:rsidR="00AB5AE0" w:rsidRPr="008539F6" w:rsidRDefault="00AB5AE0" w:rsidP="009D2AB5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bCs/>
          <w:sz w:val="24"/>
          <w:szCs w:val="24"/>
        </w:rPr>
        <w:t xml:space="preserve">Dočasný zábor staveniště pro provedení stavby bude ve výměře cca </w:t>
      </w:r>
      <w:r w:rsidR="0083608E">
        <w:rPr>
          <w:bCs/>
          <w:sz w:val="24"/>
          <w:szCs w:val="24"/>
        </w:rPr>
        <w:t>25</w:t>
      </w:r>
      <w:r w:rsidRPr="008539F6">
        <w:rPr>
          <w:bCs/>
          <w:sz w:val="24"/>
          <w:szCs w:val="24"/>
        </w:rPr>
        <w:t xml:space="preserve"> m</w:t>
      </w:r>
      <w:r w:rsidRPr="008539F6">
        <w:rPr>
          <w:bCs/>
          <w:sz w:val="24"/>
          <w:szCs w:val="24"/>
          <w:vertAlign w:val="superscript"/>
        </w:rPr>
        <w:t>2</w:t>
      </w:r>
      <w:r w:rsidRPr="008539F6">
        <w:rPr>
          <w:bCs/>
          <w:sz w:val="24"/>
          <w:szCs w:val="24"/>
        </w:rPr>
        <w:t xml:space="preserve"> </w:t>
      </w:r>
      <w:r w:rsidR="000871DB">
        <w:rPr>
          <w:bCs/>
          <w:sz w:val="24"/>
          <w:szCs w:val="24"/>
        </w:rPr>
        <w:t>(</w:t>
      </w:r>
      <w:r w:rsidR="000871DB" w:rsidRPr="00BD19B5">
        <w:rPr>
          <w:sz w:val="24"/>
          <w:szCs w:val="24"/>
        </w:rPr>
        <w:t>viz výkres č. 52</w:t>
      </w:r>
      <w:r w:rsidR="0083608E">
        <w:rPr>
          <w:sz w:val="24"/>
          <w:szCs w:val="24"/>
        </w:rPr>
        <w:t>6-</w:t>
      </w:r>
      <w:r w:rsidR="000871DB" w:rsidRPr="00BD19B5">
        <w:rPr>
          <w:sz w:val="24"/>
          <w:szCs w:val="24"/>
        </w:rPr>
        <w:t>C-0</w:t>
      </w:r>
      <w:r w:rsidR="0083608E">
        <w:rPr>
          <w:sz w:val="24"/>
          <w:szCs w:val="24"/>
        </w:rPr>
        <w:t>3</w:t>
      </w:r>
      <w:r w:rsidR="000871DB" w:rsidRPr="00BD19B5">
        <w:rPr>
          <w:sz w:val="24"/>
          <w:szCs w:val="24"/>
        </w:rPr>
        <w:t xml:space="preserve"> - situace </w:t>
      </w:r>
      <w:r w:rsidR="00795055" w:rsidRPr="008539F6">
        <w:rPr>
          <w:sz w:val="24"/>
          <w:szCs w:val="24"/>
        </w:rPr>
        <w:t>ZOV</w:t>
      </w:r>
      <w:r w:rsidR="000871DB">
        <w:rPr>
          <w:sz w:val="24"/>
          <w:szCs w:val="24"/>
        </w:rPr>
        <w:t>)</w:t>
      </w:r>
      <w:r w:rsidRPr="008539F6">
        <w:rPr>
          <w:sz w:val="24"/>
          <w:szCs w:val="24"/>
        </w:rPr>
        <w:t>.</w:t>
      </w:r>
      <w:r w:rsidRPr="008539F6">
        <w:rPr>
          <w:bCs/>
          <w:sz w:val="24"/>
          <w:szCs w:val="24"/>
        </w:rPr>
        <w:t xml:space="preserve"> </w:t>
      </w:r>
      <w:r w:rsidR="00795055" w:rsidRPr="008539F6">
        <w:rPr>
          <w:bCs/>
          <w:sz w:val="24"/>
          <w:szCs w:val="24"/>
        </w:rPr>
        <w:t xml:space="preserve"> </w:t>
      </w:r>
      <w:r w:rsidRPr="008539F6">
        <w:rPr>
          <w:sz w:val="24"/>
          <w:szCs w:val="24"/>
        </w:rPr>
        <w:t>Celý prostor musí být udržován v čistotě a pořádku a viditelně označen.</w:t>
      </w:r>
    </w:p>
    <w:p w14:paraId="56E1A78D" w14:textId="02F4D4A9" w:rsidR="00AB5AE0" w:rsidRPr="008539F6" w:rsidRDefault="00AB5AE0" w:rsidP="009D2AB5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Vjezd na stavbu je z ul. </w:t>
      </w:r>
      <w:r w:rsidR="0083608E">
        <w:rPr>
          <w:sz w:val="24"/>
          <w:szCs w:val="24"/>
        </w:rPr>
        <w:t>Blatenská</w:t>
      </w:r>
      <w:r w:rsidR="00655647" w:rsidRPr="008539F6">
        <w:rPr>
          <w:sz w:val="24"/>
          <w:szCs w:val="24"/>
        </w:rPr>
        <w:t>.</w:t>
      </w:r>
      <w:r w:rsidRPr="008539F6">
        <w:rPr>
          <w:sz w:val="24"/>
          <w:szCs w:val="24"/>
        </w:rPr>
        <w:t xml:space="preserve"> </w:t>
      </w:r>
    </w:p>
    <w:p w14:paraId="29E5BBCB" w14:textId="77777777" w:rsidR="00AB5AE0" w:rsidRPr="008539F6" w:rsidRDefault="00AB5AE0" w:rsidP="009D2AB5">
      <w:pPr>
        <w:pStyle w:val="Nadpis2"/>
        <w:spacing w:line="260" w:lineRule="exact"/>
      </w:pPr>
      <w:bookmarkStart w:id="120" w:name="_Toc367870260"/>
      <w:bookmarkStart w:id="121" w:name="_Toc72163710"/>
      <w:r w:rsidRPr="008539F6">
        <w:t>g)</w:t>
      </w:r>
      <w:r w:rsidR="00610D9F" w:rsidRPr="008539F6">
        <w:t xml:space="preserve"> </w:t>
      </w:r>
      <w:r w:rsidRPr="008539F6">
        <w:t>maximální produkovaná množství a druhy odpadů a emisí při výstavbě, jejich likvidace</w:t>
      </w:r>
      <w:bookmarkEnd w:id="120"/>
      <w:bookmarkEnd w:id="121"/>
    </w:p>
    <w:p w14:paraId="6D621FFA" w14:textId="77777777" w:rsidR="00AB5AE0" w:rsidRPr="008539F6" w:rsidRDefault="00AB5AE0" w:rsidP="009D2AB5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Původce odpadů je zhotovitel (stavební dodavatelská firma), která je povinna jednat podle zákona č. 185/2001 Sb. o odpadech. </w:t>
      </w:r>
    </w:p>
    <w:p w14:paraId="6871B3BA" w14:textId="77777777" w:rsidR="00AB5AE0" w:rsidRPr="008539F6" w:rsidRDefault="00AB5AE0" w:rsidP="009D2AB5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Odpad vznikající při stavební činnosti musí být původcem zařazen podle § </w:t>
      </w:r>
      <w:smartTag w:uri="urn:schemas-microsoft-com:office:smarttags" w:element="metricconverter">
        <w:smartTagPr>
          <w:attr w:name="ProductID" w:val="5 a"/>
        </w:smartTagPr>
        <w:r w:rsidRPr="008539F6">
          <w:rPr>
            <w:sz w:val="24"/>
            <w:szCs w:val="24"/>
          </w:rPr>
          <w:t>5 a</w:t>
        </w:r>
      </w:smartTag>
      <w:r w:rsidRPr="008539F6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6 a"/>
        </w:smartTagPr>
        <w:r w:rsidRPr="008539F6">
          <w:rPr>
            <w:sz w:val="24"/>
            <w:szCs w:val="24"/>
          </w:rPr>
          <w:t>6 a</w:t>
        </w:r>
      </w:smartTag>
      <w:r w:rsidRPr="008539F6">
        <w:rPr>
          <w:sz w:val="24"/>
          <w:szCs w:val="24"/>
        </w:rPr>
        <w:t xml:space="preserve"> dále musí být postupováno zejména podle § 16 zákona č. 185/2001 </w:t>
      </w:r>
      <w:proofErr w:type="gramStart"/>
      <w:r w:rsidRPr="008539F6">
        <w:rPr>
          <w:sz w:val="24"/>
          <w:szCs w:val="24"/>
        </w:rPr>
        <w:t>Sb..</w:t>
      </w:r>
      <w:proofErr w:type="gramEnd"/>
    </w:p>
    <w:p w14:paraId="6D08D4CA" w14:textId="77777777" w:rsidR="00AB5AE0" w:rsidRPr="008539F6" w:rsidRDefault="00AB5AE0" w:rsidP="009D2AB5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Původce odpadů zařadí odpad podle </w:t>
      </w:r>
      <w:proofErr w:type="spellStart"/>
      <w:r w:rsidRPr="008539F6">
        <w:rPr>
          <w:sz w:val="24"/>
          <w:szCs w:val="24"/>
        </w:rPr>
        <w:t>vyhl</w:t>
      </w:r>
      <w:proofErr w:type="spellEnd"/>
      <w:r w:rsidRPr="008539F6">
        <w:rPr>
          <w:sz w:val="24"/>
          <w:szCs w:val="24"/>
        </w:rPr>
        <w:t xml:space="preserve">. č. 381/2001 Sb. – Katalog odpadů a seznamy odpadů. Nakládání s odpady pak bude prováděno v souladu s vyhláškou 383/2001 </w:t>
      </w:r>
      <w:proofErr w:type="gramStart"/>
      <w:r w:rsidRPr="008539F6">
        <w:rPr>
          <w:sz w:val="24"/>
          <w:szCs w:val="24"/>
        </w:rPr>
        <w:t>Sb..</w:t>
      </w:r>
      <w:proofErr w:type="gramEnd"/>
    </w:p>
    <w:p w14:paraId="06D82AA5" w14:textId="77777777" w:rsidR="00610D9F" w:rsidRPr="008539F6" w:rsidRDefault="00AB5AE0" w:rsidP="009D2AB5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Odpady musí být shromažďovány odděleně podle § 5 </w:t>
      </w:r>
      <w:proofErr w:type="spellStart"/>
      <w:r w:rsidRPr="008539F6">
        <w:rPr>
          <w:sz w:val="24"/>
          <w:szCs w:val="24"/>
        </w:rPr>
        <w:t>vyhl</w:t>
      </w:r>
      <w:proofErr w:type="spellEnd"/>
      <w:r w:rsidRPr="008539F6">
        <w:rPr>
          <w:sz w:val="24"/>
          <w:szCs w:val="24"/>
        </w:rPr>
        <w:t xml:space="preserve">. 383/2001 Sb. a likvidovány odpovídajícím způsobem. </w:t>
      </w:r>
    </w:p>
    <w:p w14:paraId="2DE8A6BA" w14:textId="77777777" w:rsidR="00AB5AE0" w:rsidRPr="008539F6" w:rsidRDefault="00AB5AE0" w:rsidP="009D2AB5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Za likvidaci je zodpovědný zhotovitel díla (dodavatel stavebních prací) – původce odpadů. Náklady na zneškodnění odpadů – hradí zhotovitel stavby. Přitom musí být postupováno podle § </w:t>
      </w:r>
      <w:smartTag w:uri="urn:schemas-microsoft-com:office:smarttags" w:element="metricconverter">
        <w:smartTagPr>
          <w:attr w:name="ProductID" w:val="45 a"/>
        </w:smartTagPr>
        <w:r w:rsidRPr="008539F6">
          <w:rPr>
            <w:sz w:val="24"/>
            <w:szCs w:val="24"/>
          </w:rPr>
          <w:t>45 a</w:t>
        </w:r>
      </w:smartTag>
      <w:r w:rsidRPr="008539F6">
        <w:rPr>
          <w:sz w:val="24"/>
          <w:szCs w:val="24"/>
        </w:rPr>
        <w:t xml:space="preserve"> 46 zákona č. 185/2001 Sb. </w:t>
      </w:r>
    </w:p>
    <w:p w14:paraId="5150FC8B" w14:textId="77777777" w:rsidR="00AB5AE0" w:rsidRPr="008539F6" w:rsidRDefault="00AB5AE0" w:rsidP="009D2AB5">
      <w:pPr>
        <w:tabs>
          <w:tab w:val="left" w:pos="567"/>
        </w:tabs>
        <w:spacing w:before="120" w:line="260" w:lineRule="exact"/>
        <w:ind w:firstLine="567"/>
        <w:jc w:val="both"/>
        <w:rPr>
          <w:sz w:val="24"/>
          <w:szCs w:val="24"/>
        </w:rPr>
      </w:pPr>
      <w:r w:rsidRPr="008539F6">
        <w:rPr>
          <w:b/>
          <w:sz w:val="24"/>
          <w:szCs w:val="24"/>
        </w:rPr>
        <w:t>Tabulka odpadů</w:t>
      </w:r>
    </w:p>
    <w:tbl>
      <w:tblPr>
        <w:tblW w:w="88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93"/>
        <w:gridCol w:w="1534"/>
        <w:gridCol w:w="1398"/>
      </w:tblGrid>
      <w:tr w:rsidR="00610D9F" w:rsidRPr="008539F6" w14:paraId="55FC9DEA" w14:textId="77777777" w:rsidTr="00610D9F">
        <w:trPr>
          <w:trHeight w:val="322"/>
          <w:jc w:val="center"/>
        </w:trPr>
        <w:tc>
          <w:tcPr>
            <w:tcW w:w="5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AF54B92" w14:textId="77777777" w:rsidR="00610D9F" w:rsidRPr="008539F6" w:rsidRDefault="00610D9F" w:rsidP="009D2AB5">
            <w:pPr>
              <w:numPr>
                <w:ilvl w:val="0"/>
                <w:numId w:val="38"/>
              </w:numPr>
              <w:spacing w:after="120" w:line="260" w:lineRule="exact"/>
              <w:ind w:left="0" w:firstLine="567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ODPAD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F60E92C" w14:textId="77777777" w:rsidR="00610D9F" w:rsidRPr="008539F6" w:rsidRDefault="00610D9F" w:rsidP="009D2AB5">
            <w:pPr>
              <w:spacing w:line="260" w:lineRule="exact"/>
              <w:jc w:val="center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KATEGORIE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3DDFB3F" w14:textId="77777777" w:rsidR="00610D9F" w:rsidRPr="008539F6" w:rsidRDefault="00610D9F" w:rsidP="009D2AB5">
            <w:pPr>
              <w:spacing w:line="260" w:lineRule="exact"/>
              <w:jc w:val="center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MNOŽSTVÍ (t)</w:t>
            </w:r>
          </w:p>
        </w:tc>
      </w:tr>
      <w:tr w:rsidR="00610D9F" w:rsidRPr="008539F6" w14:paraId="6E23DCC6" w14:textId="77777777" w:rsidTr="00610D9F">
        <w:trPr>
          <w:trHeight w:val="307"/>
          <w:jc w:val="center"/>
        </w:trPr>
        <w:tc>
          <w:tcPr>
            <w:tcW w:w="5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74307C7" w14:textId="77777777" w:rsidR="00610D9F" w:rsidRPr="008539F6" w:rsidRDefault="00610D9F" w:rsidP="009D2AB5">
            <w:pPr>
              <w:spacing w:line="260" w:lineRule="exact"/>
              <w:ind w:firstLine="33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17 00 00 STAVEBNÍ A DEMOLIČNÍ ODPADY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18E3B1A" w14:textId="77777777" w:rsidR="00610D9F" w:rsidRPr="008539F6" w:rsidRDefault="00610D9F" w:rsidP="009D2AB5">
            <w:pPr>
              <w:spacing w:line="260" w:lineRule="exact"/>
              <w:ind w:firstLine="33"/>
              <w:jc w:val="center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7E3E2C" w14:textId="77777777" w:rsidR="00610D9F" w:rsidRPr="008539F6" w:rsidRDefault="00610D9F" w:rsidP="009D2AB5">
            <w:pPr>
              <w:spacing w:line="260" w:lineRule="exact"/>
              <w:ind w:firstLine="33"/>
              <w:jc w:val="center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 </w:t>
            </w:r>
          </w:p>
        </w:tc>
      </w:tr>
      <w:tr w:rsidR="00610D9F" w:rsidRPr="008539F6" w14:paraId="45C11C83" w14:textId="77777777" w:rsidTr="00610D9F">
        <w:trPr>
          <w:trHeight w:val="307"/>
          <w:jc w:val="center"/>
        </w:trPr>
        <w:tc>
          <w:tcPr>
            <w:tcW w:w="5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0D97A02" w14:textId="77777777" w:rsidR="00610D9F" w:rsidRPr="008539F6" w:rsidRDefault="00610D9F" w:rsidP="009D2AB5">
            <w:pPr>
              <w:spacing w:line="260" w:lineRule="exact"/>
              <w:ind w:firstLine="33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17 01 01 Beton (s příměsemi nebo frakce větší než 0,3m)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22A9616" w14:textId="77777777" w:rsidR="00610D9F" w:rsidRPr="008539F6" w:rsidRDefault="00610D9F" w:rsidP="009D2AB5">
            <w:pPr>
              <w:spacing w:line="260" w:lineRule="exact"/>
              <w:ind w:firstLine="33"/>
              <w:jc w:val="center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O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6CCB179" w14:textId="3662EFB1" w:rsidR="00610D9F" w:rsidRPr="008539F6" w:rsidRDefault="009F2E97" w:rsidP="009D2AB5">
            <w:pPr>
              <w:spacing w:line="260" w:lineRule="exact"/>
              <w:ind w:firstLine="33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</w:t>
            </w:r>
            <w:r w:rsidR="00655647" w:rsidRPr="008539F6">
              <w:rPr>
                <w:rFonts w:ascii="Calibri" w:hAnsi="Calibri"/>
                <w:sz w:val="24"/>
                <w:szCs w:val="24"/>
              </w:rPr>
              <w:t>,</w:t>
            </w:r>
            <w:r>
              <w:rPr>
                <w:rFonts w:ascii="Calibri" w:hAnsi="Calibri"/>
                <w:sz w:val="24"/>
                <w:szCs w:val="24"/>
              </w:rPr>
              <w:t>0</w:t>
            </w:r>
            <w:r w:rsidR="00795055" w:rsidRPr="008539F6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  <w:tr w:rsidR="00610D9F" w:rsidRPr="008539F6" w14:paraId="0555B429" w14:textId="77777777" w:rsidTr="00610D9F">
        <w:trPr>
          <w:trHeight w:val="307"/>
          <w:jc w:val="center"/>
        </w:trPr>
        <w:tc>
          <w:tcPr>
            <w:tcW w:w="5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4FADBAB" w14:textId="73FA7BEC" w:rsidR="00610D9F" w:rsidRPr="008539F6" w:rsidRDefault="00610D9F" w:rsidP="009D2AB5">
            <w:pPr>
              <w:spacing w:line="260" w:lineRule="exact"/>
              <w:ind w:firstLine="33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17 01 07 Směsi nebo odděl. frakce betonu, cihel, tašek neuved.</w:t>
            </w:r>
            <w:r w:rsidR="00BD3634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8539F6">
              <w:rPr>
                <w:rFonts w:ascii="Calibri" w:hAnsi="Calibri"/>
                <w:sz w:val="24"/>
                <w:szCs w:val="24"/>
              </w:rPr>
              <w:t xml:space="preserve">pod č. 17 01 06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6C9DFC0" w14:textId="77777777" w:rsidR="00610D9F" w:rsidRPr="008539F6" w:rsidRDefault="00610D9F" w:rsidP="009D2AB5">
            <w:pPr>
              <w:spacing w:line="260" w:lineRule="exact"/>
              <w:ind w:firstLine="33"/>
              <w:jc w:val="center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O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9999E2C" w14:textId="49998A98" w:rsidR="00610D9F" w:rsidRPr="008539F6" w:rsidRDefault="009F2E97" w:rsidP="009D2AB5">
            <w:pPr>
              <w:spacing w:line="260" w:lineRule="exact"/>
              <w:ind w:firstLine="33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0</w:t>
            </w:r>
            <w:r w:rsidR="00795055" w:rsidRPr="008539F6">
              <w:rPr>
                <w:rFonts w:ascii="Calibri" w:hAnsi="Calibri"/>
                <w:sz w:val="24"/>
                <w:szCs w:val="24"/>
              </w:rPr>
              <w:t>,</w:t>
            </w:r>
            <w:r>
              <w:rPr>
                <w:rFonts w:ascii="Calibri" w:hAnsi="Calibri"/>
                <w:sz w:val="24"/>
                <w:szCs w:val="24"/>
              </w:rPr>
              <w:t>02</w:t>
            </w:r>
            <w:r w:rsidR="00795055" w:rsidRPr="008539F6">
              <w:rPr>
                <w:rFonts w:ascii="Calibri" w:hAnsi="Calibri"/>
                <w:sz w:val="24"/>
                <w:szCs w:val="24"/>
              </w:rPr>
              <w:t xml:space="preserve">   </w:t>
            </w:r>
          </w:p>
        </w:tc>
      </w:tr>
      <w:tr w:rsidR="00610D9F" w:rsidRPr="008539F6" w14:paraId="5E0EF351" w14:textId="77777777" w:rsidTr="00610D9F">
        <w:trPr>
          <w:trHeight w:val="307"/>
          <w:jc w:val="center"/>
        </w:trPr>
        <w:tc>
          <w:tcPr>
            <w:tcW w:w="5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3ED48E2" w14:textId="77777777" w:rsidR="00610D9F" w:rsidRPr="008539F6" w:rsidRDefault="00610D9F" w:rsidP="009D2AB5">
            <w:pPr>
              <w:spacing w:line="260" w:lineRule="exact"/>
              <w:ind w:firstLine="33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 xml:space="preserve">17 03 02 Asfaltové směsi neuvedené pod č. 17 03 01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111E497" w14:textId="77777777" w:rsidR="00610D9F" w:rsidRPr="008539F6" w:rsidRDefault="00610D9F" w:rsidP="009D2AB5">
            <w:pPr>
              <w:spacing w:line="260" w:lineRule="exact"/>
              <w:ind w:firstLine="33"/>
              <w:jc w:val="center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O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67B2A35" w14:textId="77777777" w:rsidR="00610D9F" w:rsidRPr="008539F6" w:rsidRDefault="00610D9F" w:rsidP="009D2AB5">
            <w:pPr>
              <w:spacing w:line="260" w:lineRule="exact"/>
              <w:ind w:firstLine="33"/>
              <w:jc w:val="right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0</w:t>
            </w:r>
          </w:p>
        </w:tc>
      </w:tr>
      <w:tr w:rsidR="00610D9F" w:rsidRPr="008539F6" w14:paraId="02E0228A" w14:textId="77777777" w:rsidTr="00610D9F">
        <w:trPr>
          <w:trHeight w:val="307"/>
          <w:jc w:val="center"/>
        </w:trPr>
        <w:tc>
          <w:tcPr>
            <w:tcW w:w="5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995B60" w14:textId="77777777" w:rsidR="00610D9F" w:rsidRPr="008539F6" w:rsidRDefault="00610D9F" w:rsidP="009D2AB5">
            <w:pPr>
              <w:spacing w:line="260" w:lineRule="exact"/>
              <w:ind w:firstLine="33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17 04 07 Směsné kovy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C537E70" w14:textId="77777777" w:rsidR="00610D9F" w:rsidRPr="008539F6" w:rsidRDefault="00610D9F" w:rsidP="009D2AB5">
            <w:pPr>
              <w:spacing w:line="260" w:lineRule="exact"/>
              <w:ind w:firstLine="33"/>
              <w:jc w:val="center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O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A26859A" w14:textId="7B224BE7" w:rsidR="00610D9F" w:rsidRPr="008539F6" w:rsidRDefault="00795055" w:rsidP="009D2AB5">
            <w:pPr>
              <w:spacing w:line="260" w:lineRule="exact"/>
              <w:ind w:firstLine="33"/>
              <w:jc w:val="right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1</w:t>
            </w:r>
            <w:r w:rsidR="00610D9F" w:rsidRPr="008539F6">
              <w:rPr>
                <w:rFonts w:ascii="Calibri" w:hAnsi="Calibri"/>
                <w:sz w:val="24"/>
                <w:szCs w:val="24"/>
              </w:rPr>
              <w:t>,</w:t>
            </w:r>
            <w:r w:rsidR="00655647" w:rsidRPr="008539F6">
              <w:rPr>
                <w:rFonts w:ascii="Calibri" w:hAnsi="Calibri"/>
                <w:sz w:val="24"/>
                <w:szCs w:val="24"/>
              </w:rPr>
              <w:t>5</w:t>
            </w:r>
          </w:p>
        </w:tc>
      </w:tr>
      <w:tr w:rsidR="00610D9F" w:rsidRPr="008539F6" w14:paraId="78CE8FAE" w14:textId="77777777" w:rsidTr="00610D9F">
        <w:trPr>
          <w:trHeight w:val="307"/>
          <w:jc w:val="center"/>
        </w:trPr>
        <w:tc>
          <w:tcPr>
            <w:tcW w:w="5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B99C772" w14:textId="77777777" w:rsidR="00610D9F" w:rsidRPr="008539F6" w:rsidRDefault="00610D9F" w:rsidP="009D2AB5">
            <w:pPr>
              <w:spacing w:line="260" w:lineRule="exact"/>
              <w:ind w:firstLine="33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 xml:space="preserve">17 05 04 Zemina a kamení neuvedené pod číslem 17 05 03 </w:t>
            </w:r>
          </w:p>
          <w:p w14:paraId="05854CEB" w14:textId="77777777" w:rsidR="00610D9F" w:rsidRPr="008539F6" w:rsidRDefault="00610D9F" w:rsidP="009D2AB5">
            <w:pPr>
              <w:spacing w:line="260" w:lineRule="exact"/>
              <w:ind w:firstLine="33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 xml:space="preserve">(kusy do 0,3m)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E47829" w14:textId="77777777" w:rsidR="00610D9F" w:rsidRPr="008539F6" w:rsidRDefault="00610D9F" w:rsidP="009D2AB5">
            <w:pPr>
              <w:spacing w:line="260" w:lineRule="exact"/>
              <w:ind w:firstLine="33"/>
              <w:jc w:val="center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O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E29DDB" w14:textId="77777777" w:rsidR="00610D9F" w:rsidRPr="008539F6" w:rsidRDefault="00610D9F" w:rsidP="009D2AB5">
            <w:pPr>
              <w:spacing w:line="260" w:lineRule="exact"/>
              <w:ind w:firstLine="33"/>
              <w:jc w:val="right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0,0</w:t>
            </w:r>
          </w:p>
        </w:tc>
      </w:tr>
      <w:tr w:rsidR="00610D9F" w:rsidRPr="008539F6" w14:paraId="70CBCF47" w14:textId="77777777" w:rsidTr="00610D9F">
        <w:trPr>
          <w:trHeight w:val="307"/>
          <w:jc w:val="center"/>
        </w:trPr>
        <w:tc>
          <w:tcPr>
            <w:tcW w:w="5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76AFE19" w14:textId="77777777" w:rsidR="00610D9F" w:rsidRPr="008539F6" w:rsidRDefault="00610D9F" w:rsidP="009D2AB5">
            <w:pPr>
              <w:spacing w:line="260" w:lineRule="exact"/>
              <w:ind w:firstLine="33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 xml:space="preserve">17 06 04 Izolační materiály neuvedené pod čísly 17 06 01 a </w:t>
            </w:r>
          </w:p>
          <w:p w14:paraId="4EA2D089" w14:textId="77777777" w:rsidR="00610D9F" w:rsidRPr="008539F6" w:rsidRDefault="00610D9F" w:rsidP="009D2AB5">
            <w:pPr>
              <w:spacing w:line="260" w:lineRule="exact"/>
              <w:ind w:firstLine="33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 xml:space="preserve">17 06 03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726EE3C" w14:textId="77777777" w:rsidR="00610D9F" w:rsidRPr="008539F6" w:rsidRDefault="00610D9F" w:rsidP="009D2AB5">
            <w:pPr>
              <w:spacing w:line="260" w:lineRule="exact"/>
              <w:ind w:firstLine="33"/>
              <w:jc w:val="center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O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B8E652B" w14:textId="53208481" w:rsidR="00610D9F" w:rsidRPr="008539F6" w:rsidRDefault="00795055" w:rsidP="009D2AB5">
            <w:pPr>
              <w:spacing w:line="260" w:lineRule="exact"/>
              <w:ind w:firstLine="33"/>
              <w:jc w:val="right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0</w:t>
            </w:r>
            <w:r w:rsidR="00610D9F" w:rsidRPr="008539F6">
              <w:rPr>
                <w:rFonts w:ascii="Calibri" w:hAnsi="Calibri"/>
                <w:sz w:val="24"/>
                <w:szCs w:val="24"/>
              </w:rPr>
              <w:t>,</w:t>
            </w:r>
            <w:r w:rsidR="004D6999">
              <w:rPr>
                <w:rFonts w:ascii="Calibri" w:hAnsi="Calibri"/>
                <w:sz w:val="24"/>
                <w:szCs w:val="24"/>
              </w:rPr>
              <w:t>23</w:t>
            </w:r>
          </w:p>
        </w:tc>
      </w:tr>
      <w:tr w:rsidR="00610D9F" w:rsidRPr="008539F6" w14:paraId="203C0DDE" w14:textId="77777777" w:rsidTr="00610D9F">
        <w:trPr>
          <w:trHeight w:val="322"/>
          <w:jc w:val="center"/>
        </w:trPr>
        <w:tc>
          <w:tcPr>
            <w:tcW w:w="5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98F7786" w14:textId="6B70F5A2" w:rsidR="00610D9F" w:rsidRPr="008539F6" w:rsidRDefault="00610D9F" w:rsidP="009D2AB5">
            <w:pPr>
              <w:spacing w:line="260" w:lineRule="exact"/>
              <w:ind w:firstLine="33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 xml:space="preserve">17 09 04 Směsné stavební a demoliční odpady neuved. pod 17 09 01, 17 09 02 a 17 09 03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FE94F82" w14:textId="77777777" w:rsidR="00610D9F" w:rsidRPr="008539F6" w:rsidRDefault="00610D9F" w:rsidP="009D2AB5">
            <w:pPr>
              <w:spacing w:line="260" w:lineRule="exact"/>
              <w:ind w:firstLine="33"/>
              <w:jc w:val="center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O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49C036B" w14:textId="77777777" w:rsidR="00610D9F" w:rsidRPr="008539F6" w:rsidRDefault="00610D9F" w:rsidP="009D2AB5">
            <w:pPr>
              <w:spacing w:line="260" w:lineRule="exact"/>
              <w:ind w:firstLine="33"/>
              <w:jc w:val="right"/>
              <w:rPr>
                <w:rFonts w:ascii="Calibri" w:hAnsi="Calibri"/>
                <w:sz w:val="24"/>
                <w:szCs w:val="24"/>
              </w:rPr>
            </w:pPr>
            <w:r w:rsidRPr="008539F6">
              <w:rPr>
                <w:rFonts w:ascii="Calibri" w:hAnsi="Calibri"/>
                <w:sz w:val="24"/>
                <w:szCs w:val="24"/>
              </w:rPr>
              <w:t>0,0</w:t>
            </w:r>
          </w:p>
        </w:tc>
      </w:tr>
    </w:tbl>
    <w:p w14:paraId="3AECCA00" w14:textId="77777777" w:rsidR="00AB5AE0" w:rsidRPr="008539F6" w:rsidRDefault="00AB5AE0" w:rsidP="009D2AB5">
      <w:pPr>
        <w:tabs>
          <w:tab w:val="left" w:pos="567"/>
        </w:tabs>
        <w:spacing w:before="120"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>Původce odpadů je povinen uvedený seznam odpadů upravovat podle konkrétních použitých materiálů a technologických postupů.</w:t>
      </w:r>
    </w:p>
    <w:p w14:paraId="290E3F5D" w14:textId="77777777" w:rsidR="00AB5AE0" w:rsidRPr="008539F6" w:rsidRDefault="00AB5AE0" w:rsidP="009D2AB5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Využití a odstranění nebezpečných odpadů (N) musí být provedeno odbornou oprávněnou organizací podle § 12, </w:t>
      </w:r>
      <w:smartTag w:uri="urn:schemas-microsoft-com:office:smarttags" w:element="metricconverter">
        <w:smartTagPr>
          <w:attr w:name="ProductID" w:val="14 a"/>
        </w:smartTagPr>
        <w:r w:rsidRPr="008539F6">
          <w:rPr>
            <w:sz w:val="24"/>
            <w:szCs w:val="24"/>
          </w:rPr>
          <w:t>14 a</w:t>
        </w:r>
      </w:smartTag>
      <w:r w:rsidRPr="008539F6">
        <w:rPr>
          <w:sz w:val="24"/>
          <w:szCs w:val="24"/>
        </w:rPr>
        <w:t xml:space="preserve"> 17 zákona č. 185/2001 </w:t>
      </w:r>
      <w:proofErr w:type="gramStart"/>
      <w:r w:rsidRPr="008539F6">
        <w:rPr>
          <w:sz w:val="24"/>
          <w:szCs w:val="24"/>
        </w:rPr>
        <w:t>Sb..</w:t>
      </w:r>
      <w:proofErr w:type="gramEnd"/>
      <w:r w:rsidRPr="008539F6">
        <w:rPr>
          <w:sz w:val="24"/>
          <w:szCs w:val="24"/>
        </w:rPr>
        <w:t xml:space="preserve"> </w:t>
      </w:r>
    </w:p>
    <w:p w14:paraId="7D7AFABC" w14:textId="6FC790C3" w:rsidR="009D2AB5" w:rsidRPr="008539F6" w:rsidRDefault="00AB5AE0" w:rsidP="009D2AB5">
      <w:pPr>
        <w:tabs>
          <w:tab w:val="left" w:pos="567"/>
        </w:tabs>
        <w:spacing w:line="260" w:lineRule="exact"/>
        <w:ind w:firstLine="567"/>
        <w:jc w:val="both"/>
        <w:rPr>
          <w:sz w:val="24"/>
          <w:szCs w:val="24"/>
        </w:rPr>
      </w:pPr>
      <w:r w:rsidRPr="008539F6">
        <w:rPr>
          <w:sz w:val="24"/>
          <w:szCs w:val="24"/>
        </w:rPr>
        <w:t xml:space="preserve">Ocelový demontovaný materiál bude likvidován kovošrotem. </w:t>
      </w:r>
      <w:r w:rsidR="005866D5" w:rsidRPr="005866D5">
        <w:rPr>
          <w:sz w:val="24"/>
          <w:szCs w:val="24"/>
        </w:rPr>
        <w:t>Výtěžek z kovového odpadu bude ve prospěch zadavatele stavby. Investorovi budou předloženy vážní lístky.</w:t>
      </w:r>
    </w:p>
    <w:p w14:paraId="2B85B48C" w14:textId="77777777" w:rsidR="00AB5AE0" w:rsidRPr="008539F6" w:rsidRDefault="00570726" w:rsidP="009D2AB5">
      <w:pPr>
        <w:pStyle w:val="Nadpis2"/>
        <w:spacing w:before="160" w:line="260" w:lineRule="exact"/>
      </w:pPr>
      <w:bookmarkStart w:id="122" w:name="_Toc367870261"/>
      <w:bookmarkStart w:id="123" w:name="_Toc72163711"/>
      <w:r w:rsidRPr="008539F6">
        <w:lastRenderedPageBreak/>
        <w:t>i</w:t>
      </w:r>
      <w:r w:rsidR="00AB5AE0" w:rsidRPr="008539F6">
        <w:t>)</w:t>
      </w:r>
      <w:r w:rsidR="00610D9F" w:rsidRPr="008539F6">
        <w:t xml:space="preserve"> </w:t>
      </w:r>
      <w:r w:rsidR="00AB5AE0" w:rsidRPr="008539F6">
        <w:t>bilance zemních prací, požadavky na přísun nebo deponie zemin</w:t>
      </w:r>
      <w:bookmarkEnd w:id="122"/>
      <w:bookmarkEnd w:id="123"/>
      <w:r w:rsidR="00AB5AE0" w:rsidRPr="008539F6">
        <w:t xml:space="preserve"> </w:t>
      </w:r>
    </w:p>
    <w:p w14:paraId="5D7794E9" w14:textId="3709D099" w:rsidR="009D2AB5" w:rsidRDefault="009D2AB5" w:rsidP="009D2AB5">
      <w:pPr>
        <w:keepNext/>
        <w:widowControl w:val="0"/>
        <w:spacing w:line="260" w:lineRule="exact"/>
        <w:ind w:firstLine="567"/>
        <w:jc w:val="both"/>
        <w:outlineLvl w:val="2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Nepředpokládá se přísun zeminy na staveniště.  </w:t>
      </w:r>
    </w:p>
    <w:p w14:paraId="24EE3492" w14:textId="42229AE6" w:rsidR="00AB5AE0" w:rsidRPr="008539F6" w:rsidRDefault="00570726" w:rsidP="009D2AB5">
      <w:pPr>
        <w:pStyle w:val="Nadpis2"/>
        <w:spacing w:line="260" w:lineRule="exact"/>
      </w:pPr>
      <w:bookmarkStart w:id="124" w:name="_Toc367870262"/>
      <w:bookmarkStart w:id="125" w:name="_Toc72163712"/>
      <w:r w:rsidRPr="008539F6">
        <w:t>j</w:t>
      </w:r>
      <w:r w:rsidR="00AB5AE0" w:rsidRPr="008539F6">
        <w:t>)</w:t>
      </w:r>
      <w:r w:rsidR="00610D9F" w:rsidRPr="008539F6">
        <w:t xml:space="preserve"> </w:t>
      </w:r>
      <w:r w:rsidR="00AB5AE0" w:rsidRPr="008539F6">
        <w:t>ochrana životního prostředí při výstavbě</w:t>
      </w:r>
      <w:bookmarkEnd w:id="124"/>
      <w:bookmarkEnd w:id="125"/>
    </w:p>
    <w:p w14:paraId="616387A6" w14:textId="77777777" w:rsidR="00AB5AE0" w:rsidRPr="008539F6" w:rsidRDefault="00AB5AE0" w:rsidP="009D2AB5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 xml:space="preserve">Při realizaci je nezbytné dodržet zásady pro snižování negativních vlivů stavební činnosti na životní prostředí: </w:t>
      </w:r>
    </w:p>
    <w:p w14:paraId="4257D780" w14:textId="77777777" w:rsidR="00AB5AE0" w:rsidRPr="008539F6" w:rsidRDefault="00AB5AE0" w:rsidP="009D2AB5">
      <w:pPr>
        <w:spacing w:line="260" w:lineRule="exact"/>
        <w:ind w:firstLine="567"/>
        <w:jc w:val="both"/>
        <w:rPr>
          <w:bCs/>
          <w:sz w:val="24"/>
          <w:szCs w:val="24"/>
        </w:rPr>
      </w:pPr>
    </w:p>
    <w:p w14:paraId="3EF32E6E" w14:textId="77777777" w:rsidR="00AB5AE0" w:rsidRPr="008539F6" w:rsidRDefault="00AB5AE0" w:rsidP="009D2AB5">
      <w:pPr>
        <w:numPr>
          <w:ilvl w:val="0"/>
          <w:numId w:val="41"/>
        </w:numPr>
        <w:spacing w:line="260" w:lineRule="exact"/>
        <w:ind w:left="0"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Ochrana proti hluku a vibracím</w:t>
      </w:r>
    </w:p>
    <w:p w14:paraId="1248FF24" w14:textId="77777777" w:rsidR="00AB5AE0" w:rsidRPr="008539F6" w:rsidRDefault="00AB5AE0" w:rsidP="009D2AB5">
      <w:pPr>
        <w:numPr>
          <w:ilvl w:val="0"/>
          <w:numId w:val="41"/>
        </w:numPr>
        <w:spacing w:line="260" w:lineRule="exact"/>
        <w:ind w:left="0"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Ochrana proti znečišťování ovzduší výfukovými plyny a prachem</w:t>
      </w:r>
    </w:p>
    <w:p w14:paraId="1570BF01" w14:textId="77777777" w:rsidR="00AB5AE0" w:rsidRPr="008539F6" w:rsidRDefault="00AB5AE0" w:rsidP="009D2AB5">
      <w:pPr>
        <w:numPr>
          <w:ilvl w:val="0"/>
          <w:numId w:val="41"/>
        </w:numPr>
        <w:spacing w:line="260" w:lineRule="exact"/>
        <w:ind w:left="0"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 xml:space="preserve">Ochrana proti znečišťování komunikací </w:t>
      </w:r>
    </w:p>
    <w:p w14:paraId="215C4250" w14:textId="77777777" w:rsidR="00AB5AE0" w:rsidRPr="008539F6" w:rsidRDefault="00AB5AE0" w:rsidP="009D2AB5">
      <w:pPr>
        <w:numPr>
          <w:ilvl w:val="0"/>
          <w:numId w:val="41"/>
        </w:numPr>
        <w:spacing w:line="260" w:lineRule="exact"/>
        <w:ind w:left="0"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Ochrana před provozem zařízení staveniště a vizuálním rušením okolí</w:t>
      </w:r>
    </w:p>
    <w:p w14:paraId="6B68AC56" w14:textId="77777777" w:rsidR="00AB5AE0" w:rsidRPr="008539F6" w:rsidRDefault="00AB5AE0" w:rsidP="009D2AB5">
      <w:pPr>
        <w:numPr>
          <w:ilvl w:val="0"/>
          <w:numId w:val="41"/>
        </w:numPr>
        <w:spacing w:line="260" w:lineRule="exact"/>
        <w:ind w:left="0"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Ochrana vod a kanalizací</w:t>
      </w:r>
    </w:p>
    <w:p w14:paraId="29A83EB4" w14:textId="77777777" w:rsidR="00AB5AE0" w:rsidRPr="008539F6" w:rsidRDefault="00AB5AE0" w:rsidP="009D2AB5">
      <w:pPr>
        <w:numPr>
          <w:ilvl w:val="0"/>
          <w:numId w:val="41"/>
        </w:numPr>
        <w:spacing w:line="260" w:lineRule="exact"/>
        <w:ind w:left="0"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Ochrana zeleně před poškozením</w:t>
      </w:r>
    </w:p>
    <w:p w14:paraId="367A42C1" w14:textId="77777777" w:rsidR="00AB5AE0" w:rsidRPr="008539F6" w:rsidRDefault="00AB5AE0" w:rsidP="009D2AB5">
      <w:pPr>
        <w:numPr>
          <w:ilvl w:val="0"/>
          <w:numId w:val="41"/>
        </w:numPr>
        <w:spacing w:line="260" w:lineRule="exact"/>
        <w:ind w:left="0"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 xml:space="preserve">Zodpovědné hospodaření s odpady </w:t>
      </w:r>
    </w:p>
    <w:p w14:paraId="0B5FA4E8" w14:textId="77777777" w:rsidR="00AB5AE0" w:rsidRPr="008539F6" w:rsidRDefault="00AB5AE0" w:rsidP="009D2AB5">
      <w:pPr>
        <w:spacing w:line="260" w:lineRule="exact"/>
        <w:ind w:firstLine="567"/>
        <w:jc w:val="both"/>
        <w:rPr>
          <w:bCs/>
          <w:sz w:val="24"/>
          <w:szCs w:val="24"/>
        </w:rPr>
      </w:pPr>
    </w:p>
    <w:p w14:paraId="6F4613FF" w14:textId="77777777" w:rsidR="00AB5AE0" w:rsidRPr="008539F6" w:rsidRDefault="00AB5AE0" w:rsidP="009D2AB5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V případě ekologické havárie je zhotovitel povinen neprodleně informovat objednatele a příslušné orgány bezpečnostních složek.</w:t>
      </w:r>
    </w:p>
    <w:p w14:paraId="6E7A14EC" w14:textId="77777777" w:rsidR="00AB5AE0" w:rsidRPr="008539F6" w:rsidRDefault="00AB5AE0" w:rsidP="009D2AB5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 xml:space="preserve">Při provádění prací musí být dodrženy technologické postupy výrobců stavebních materiálů. </w:t>
      </w:r>
    </w:p>
    <w:p w14:paraId="5C81822A" w14:textId="77777777" w:rsidR="00AB5AE0" w:rsidRPr="008539F6" w:rsidRDefault="00570726" w:rsidP="008539F6">
      <w:pPr>
        <w:pStyle w:val="Nadpis2"/>
        <w:spacing w:line="260" w:lineRule="exact"/>
      </w:pPr>
      <w:bookmarkStart w:id="126" w:name="_Toc367870263"/>
      <w:bookmarkStart w:id="127" w:name="_Toc72163713"/>
      <w:r w:rsidRPr="008539F6">
        <w:t>k</w:t>
      </w:r>
      <w:r w:rsidR="00AB5AE0" w:rsidRPr="008539F6">
        <w:t>)</w:t>
      </w:r>
      <w:r w:rsidR="00610D9F" w:rsidRPr="008539F6">
        <w:t xml:space="preserve"> </w:t>
      </w:r>
      <w:r w:rsidR="00AB5AE0" w:rsidRPr="008539F6">
        <w:t>zásady bezpečnosti a ochrany zdraví při práci na staveništi, posouzení potřeby koordinátora bezpečnosti a ochrany zdraví při práci podle jiných právních předpisů</w:t>
      </w:r>
      <w:bookmarkEnd w:id="126"/>
      <w:bookmarkEnd w:id="127"/>
    </w:p>
    <w:p w14:paraId="6F6B7CC4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Při přípravě a provádění stavby je třeba věnovat zvýšenou pozornost bezpečnosti práce.</w:t>
      </w:r>
    </w:p>
    <w:p w14:paraId="099E608B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 xml:space="preserve">Všichni pracovníci na stavbě musí být prokazatelně proškoleni z bezpečnosti práce. </w:t>
      </w:r>
    </w:p>
    <w:p w14:paraId="1BEA795C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Na stavbě musí být dodrženy i hygienické, požární a ekologické předpisy.</w:t>
      </w:r>
    </w:p>
    <w:p w14:paraId="0D3E6F21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Především je nutné dodržování vyhlášky o bezpečnosti práce a technických zařízeních při stavebních pracích.</w:t>
      </w:r>
    </w:p>
    <w:p w14:paraId="2F39FB03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 xml:space="preserve">Veškeré mechanismy budou v případě nepřítomnosti odpovědných osob zajištěny, bude znemožněna veškerá manipulace s nimi a budou po ukončení pracovní činnosti umístěny do prostoru zařízení staveniště.  </w:t>
      </w:r>
    </w:p>
    <w:p w14:paraId="5E5F7A81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 xml:space="preserve">Prováděcím předpisem pro bezpečné provádění stavebních prací je nařízení vlády č. 591/2006 Sb., o bližších minimálních požadavcích na bezpečnost a ochranu zdraví při práci na staveništích. </w:t>
      </w:r>
    </w:p>
    <w:p w14:paraId="0FEB8D98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 xml:space="preserve">Toto nařízení vlády představuje prováděcí předpis k zákonu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</w:t>
      </w:r>
    </w:p>
    <w:p w14:paraId="5AA3B4D1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Dle zákona č. 309/2006 §14 bude na stavbě vyžadován koordinátor bezpečnosti a ochrany zdraví při práci., vhledem k tomu že se na stavbě mohou působit zaměstnanci více než jednoho zhotovitele stavby.</w:t>
      </w:r>
    </w:p>
    <w:p w14:paraId="555CA365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Dále na základě zákona č. 309/2006 §15 je nutné, aby zadavatel ohlásil na oblastní inspektorát práce oznámení o zahájení prací, vzhledem k tomu že objem prací a realizace díla přesáhne 500 pracovní dnů v přepočtu na jednu fyzickou osobu.</w:t>
      </w:r>
    </w:p>
    <w:p w14:paraId="5DF541FD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Dalším prováděcím předpisem, který je nutno dodržovat na pracovištích s nebezpečím pádu z výšky nebo do hloubky, je nařízení vlády č. 362/2005 Sb.</w:t>
      </w:r>
    </w:p>
    <w:p w14:paraId="24F1811F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Zákon i nařízení vlády zapracovávají příslušné předpisy Evropských společenství a upravují požadavky bezpečnosti a ochrany zdraví při práci v pracovněprávních vztazích a také pro činnosti nebo poskytování služeb mimo pracovněprávní vztahy.</w:t>
      </w:r>
    </w:p>
    <w:p w14:paraId="11658AC4" w14:textId="77777777" w:rsidR="009D2AB5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 xml:space="preserve">Před započetím bouracích nebo rekonstrukčních prací se musí uskutečnit podrobný průzkum stavu objektu, musí se zjistit inženýrské sítě a stav dotčených sousedních objektů a o provedeném průzkumu musí být proveden zápis. </w:t>
      </w:r>
    </w:p>
    <w:p w14:paraId="5FF33F8D" w14:textId="49EC82DF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Průzkumu musí být přítomen kompetentní zástupce zhotovitele. Na základě tohoto průzkumu vypracuje zhotovitel bouracích prací technologický postup s ohledem na bezpečnost práce.</w:t>
      </w:r>
    </w:p>
    <w:p w14:paraId="11D9F465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lastRenderedPageBreak/>
        <w:t>Před vlastním započetím prací musí být vymezen ohrožený prostor, a to na základě technologie bourání. Ohrožený prostor musí být zajištěn proti vstupu nepovolaných osob a musí splňovat podmínku, že bude bezpečně zajištěna ochrana veřejného zájmu ohroženého bouracími pracemi. Před započetím prací se musí odpojit a zajistit všechny rozvodné sítě, kanalizace a zařízení instalované v bouraných objektech, aby nedošlo k jejich zneužití.</w:t>
      </w:r>
    </w:p>
    <w:p w14:paraId="718176F1" w14:textId="77777777" w:rsidR="00AB5AE0" w:rsidRPr="008539F6" w:rsidRDefault="00AB5AE0" w:rsidP="008539F6">
      <w:pPr>
        <w:spacing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>Bourací práce mohou začít až na základě písemného příkazu odpovědného pracovníka zhotovitele.</w:t>
      </w:r>
    </w:p>
    <w:p w14:paraId="0EBCFADB" w14:textId="77777777" w:rsidR="00AB5AE0" w:rsidRPr="008539F6" w:rsidRDefault="00570726" w:rsidP="008539F6">
      <w:pPr>
        <w:pStyle w:val="Nadpis2"/>
        <w:spacing w:line="260" w:lineRule="exact"/>
      </w:pPr>
      <w:bookmarkStart w:id="128" w:name="_Toc367870264"/>
      <w:bookmarkStart w:id="129" w:name="_Toc72163714"/>
      <w:r w:rsidRPr="008539F6">
        <w:t>l</w:t>
      </w:r>
      <w:r w:rsidR="00AB5AE0" w:rsidRPr="008539F6">
        <w:t>)</w:t>
      </w:r>
      <w:r w:rsidR="00705942" w:rsidRPr="008539F6">
        <w:t xml:space="preserve"> </w:t>
      </w:r>
      <w:r w:rsidR="00AB5AE0" w:rsidRPr="008539F6">
        <w:t>úpravy pro bezbariérové užívání výstavbou dotčených staveb</w:t>
      </w:r>
      <w:bookmarkEnd w:id="128"/>
      <w:bookmarkEnd w:id="129"/>
    </w:p>
    <w:p w14:paraId="02F06E6A" w14:textId="77777777" w:rsidR="00AB5AE0" w:rsidRPr="008539F6" w:rsidRDefault="00AB5AE0" w:rsidP="008539F6">
      <w:pPr>
        <w:keepNext/>
        <w:widowControl w:val="0"/>
        <w:spacing w:before="120" w:after="120" w:line="260" w:lineRule="exact"/>
        <w:ind w:firstLine="567"/>
        <w:jc w:val="both"/>
        <w:outlineLvl w:val="2"/>
        <w:rPr>
          <w:snapToGrid w:val="0"/>
          <w:sz w:val="24"/>
          <w:szCs w:val="24"/>
        </w:rPr>
      </w:pPr>
      <w:r w:rsidRPr="008539F6">
        <w:rPr>
          <w:snapToGrid w:val="0"/>
          <w:sz w:val="24"/>
          <w:szCs w:val="24"/>
        </w:rPr>
        <w:t xml:space="preserve">Požadavky na bezbariérové užívaní nejsou známy a stavba svým záměrem, žádný nový bezbariérový přístup nevyvolává.  </w:t>
      </w:r>
    </w:p>
    <w:p w14:paraId="5CC89D97" w14:textId="77777777" w:rsidR="00AB5AE0" w:rsidRPr="008539F6" w:rsidRDefault="00570726" w:rsidP="008539F6">
      <w:pPr>
        <w:pStyle w:val="Nadpis2"/>
        <w:spacing w:line="260" w:lineRule="exact"/>
      </w:pPr>
      <w:bookmarkStart w:id="130" w:name="_Toc367870265"/>
      <w:bookmarkStart w:id="131" w:name="_Toc72163715"/>
      <w:r w:rsidRPr="008539F6">
        <w:t>m</w:t>
      </w:r>
      <w:r w:rsidR="00AB5AE0" w:rsidRPr="008539F6">
        <w:t>)</w:t>
      </w:r>
      <w:r w:rsidR="00705942" w:rsidRPr="008539F6">
        <w:t xml:space="preserve"> </w:t>
      </w:r>
      <w:r w:rsidR="00AB5AE0" w:rsidRPr="008539F6">
        <w:t>zásady pro dopravně inženýrské opatření</w:t>
      </w:r>
      <w:bookmarkEnd w:id="130"/>
      <w:bookmarkEnd w:id="131"/>
    </w:p>
    <w:p w14:paraId="175295D5" w14:textId="18152119" w:rsidR="00AB5AE0" w:rsidRPr="008539F6" w:rsidRDefault="004D6999" w:rsidP="008539F6">
      <w:pPr>
        <w:spacing w:after="120" w:line="260" w:lineRule="exact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Není požadováno</w:t>
      </w:r>
      <w:r w:rsidR="00AB5AE0" w:rsidRPr="008539F6">
        <w:rPr>
          <w:bCs/>
          <w:sz w:val="24"/>
          <w:szCs w:val="24"/>
        </w:rPr>
        <w:t xml:space="preserve">. </w:t>
      </w:r>
    </w:p>
    <w:p w14:paraId="564ACD0A" w14:textId="77777777" w:rsidR="00AB5AE0" w:rsidRPr="008539F6" w:rsidRDefault="00570726" w:rsidP="008539F6">
      <w:pPr>
        <w:pStyle w:val="Nadpis2"/>
        <w:spacing w:line="260" w:lineRule="exact"/>
      </w:pPr>
      <w:bookmarkStart w:id="132" w:name="_Toc367870266"/>
      <w:bookmarkStart w:id="133" w:name="_Toc72163716"/>
      <w:r w:rsidRPr="008539F6">
        <w:t>n</w:t>
      </w:r>
      <w:r w:rsidR="00AB5AE0" w:rsidRPr="008539F6">
        <w:t>)</w:t>
      </w:r>
      <w:r w:rsidR="00610D9F" w:rsidRPr="008539F6">
        <w:t xml:space="preserve"> </w:t>
      </w:r>
      <w:r w:rsidR="00AB5AE0" w:rsidRPr="008539F6">
        <w:t>stanovení speciálních podmínek pro provádění stavby (provádění stavby za provozu, opatření proti účinkům vnějšího prostředí při výstavbě apod.)</w:t>
      </w:r>
      <w:bookmarkEnd w:id="132"/>
      <w:bookmarkEnd w:id="133"/>
    </w:p>
    <w:p w14:paraId="0EA8EF79" w14:textId="77777777" w:rsidR="00AB5AE0" w:rsidRPr="008539F6" w:rsidRDefault="00AB5AE0" w:rsidP="008539F6">
      <w:pPr>
        <w:spacing w:after="120" w:line="260" w:lineRule="exact"/>
        <w:ind w:firstLine="567"/>
        <w:jc w:val="both"/>
        <w:rPr>
          <w:bCs/>
          <w:sz w:val="24"/>
          <w:szCs w:val="24"/>
        </w:rPr>
      </w:pPr>
      <w:r w:rsidRPr="008539F6">
        <w:rPr>
          <w:bCs/>
          <w:sz w:val="24"/>
          <w:szCs w:val="24"/>
        </w:rPr>
        <w:t xml:space="preserve">Nejsou známy. </w:t>
      </w:r>
    </w:p>
    <w:p w14:paraId="01F7AB95" w14:textId="77777777" w:rsidR="00AB5AE0" w:rsidRPr="008539F6" w:rsidRDefault="00570726" w:rsidP="008539F6">
      <w:pPr>
        <w:pStyle w:val="Nadpis2"/>
        <w:spacing w:line="260" w:lineRule="exact"/>
      </w:pPr>
      <w:bookmarkStart w:id="134" w:name="_Toc367870267"/>
      <w:bookmarkStart w:id="135" w:name="_Toc72163717"/>
      <w:r w:rsidRPr="008539F6">
        <w:t>o</w:t>
      </w:r>
      <w:r w:rsidR="00AB5AE0" w:rsidRPr="008539F6">
        <w:t>)</w:t>
      </w:r>
      <w:r w:rsidR="00610D9F" w:rsidRPr="008539F6">
        <w:t xml:space="preserve"> </w:t>
      </w:r>
      <w:r w:rsidR="00AB5AE0" w:rsidRPr="008539F6">
        <w:t>postup výstavby, rozhodující dílčí termíny</w:t>
      </w:r>
      <w:bookmarkEnd w:id="134"/>
      <w:bookmarkEnd w:id="135"/>
    </w:p>
    <w:p w14:paraId="157E3691" w14:textId="77777777" w:rsidR="00AB5AE0" w:rsidRPr="008539F6" w:rsidRDefault="00AB5AE0" w:rsidP="008539F6">
      <w:pPr>
        <w:spacing w:after="80" w:line="260" w:lineRule="exact"/>
        <w:ind w:firstLine="567"/>
        <w:rPr>
          <w:sz w:val="24"/>
          <w:szCs w:val="24"/>
        </w:rPr>
      </w:pPr>
      <w:r w:rsidRPr="008539F6">
        <w:rPr>
          <w:sz w:val="24"/>
          <w:szCs w:val="24"/>
        </w:rPr>
        <w:t xml:space="preserve">Termíny zahájení a ukončení stavby závisí na termínech vlastní stavby. Při zpracování PD se předpokládají tyto termíny: </w:t>
      </w:r>
    </w:p>
    <w:p w14:paraId="26001E70" w14:textId="1A52B353" w:rsidR="00AB5AE0" w:rsidRPr="008539F6" w:rsidRDefault="00AB5AE0" w:rsidP="008539F6">
      <w:pPr>
        <w:keepNext/>
        <w:keepLines/>
        <w:widowControl w:val="0"/>
        <w:spacing w:before="120" w:after="80" w:line="260" w:lineRule="exact"/>
        <w:ind w:firstLine="567"/>
        <w:jc w:val="both"/>
        <w:outlineLvl w:val="3"/>
        <w:rPr>
          <w:snapToGrid w:val="0"/>
          <w:sz w:val="24"/>
          <w:szCs w:val="24"/>
        </w:rPr>
      </w:pPr>
      <w:r w:rsidRPr="008539F6">
        <w:rPr>
          <w:snapToGrid w:val="0"/>
          <w:sz w:val="24"/>
          <w:szCs w:val="24"/>
        </w:rPr>
        <w:t xml:space="preserve">- zahájení stavby </w:t>
      </w:r>
      <w:r w:rsidR="00C94C49" w:rsidRPr="008539F6">
        <w:rPr>
          <w:snapToGrid w:val="0"/>
          <w:sz w:val="24"/>
          <w:szCs w:val="24"/>
        </w:rPr>
        <w:t xml:space="preserve">nejdříve </w:t>
      </w:r>
      <w:r w:rsidRPr="008539F6">
        <w:rPr>
          <w:snapToGrid w:val="0"/>
          <w:sz w:val="24"/>
          <w:szCs w:val="24"/>
        </w:rPr>
        <w:t>0</w:t>
      </w:r>
      <w:r w:rsidR="000871DB">
        <w:rPr>
          <w:snapToGrid w:val="0"/>
          <w:sz w:val="24"/>
          <w:szCs w:val="24"/>
        </w:rPr>
        <w:t>6</w:t>
      </w:r>
      <w:r w:rsidRPr="008539F6">
        <w:rPr>
          <w:snapToGrid w:val="0"/>
          <w:sz w:val="24"/>
          <w:szCs w:val="24"/>
        </w:rPr>
        <w:t>/20</w:t>
      </w:r>
      <w:r w:rsidR="00795055" w:rsidRPr="008539F6">
        <w:rPr>
          <w:snapToGrid w:val="0"/>
          <w:sz w:val="24"/>
          <w:szCs w:val="24"/>
        </w:rPr>
        <w:t>21</w:t>
      </w:r>
    </w:p>
    <w:p w14:paraId="6D9C7D49" w14:textId="1443993B" w:rsidR="00AB5AE0" w:rsidRPr="008539F6" w:rsidRDefault="00AB5AE0" w:rsidP="008539F6">
      <w:pPr>
        <w:keepNext/>
        <w:keepLines/>
        <w:widowControl w:val="0"/>
        <w:spacing w:after="80" w:line="260" w:lineRule="exact"/>
        <w:ind w:firstLine="567"/>
        <w:jc w:val="both"/>
        <w:outlineLvl w:val="3"/>
        <w:rPr>
          <w:snapToGrid w:val="0"/>
          <w:sz w:val="24"/>
          <w:szCs w:val="24"/>
        </w:rPr>
      </w:pPr>
      <w:r w:rsidRPr="008539F6">
        <w:rPr>
          <w:snapToGrid w:val="0"/>
          <w:sz w:val="24"/>
          <w:szCs w:val="24"/>
        </w:rPr>
        <w:t xml:space="preserve">- dokončení stavby </w:t>
      </w:r>
      <w:r w:rsidR="00C94C49" w:rsidRPr="008539F6">
        <w:rPr>
          <w:snapToGrid w:val="0"/>
          <w:sz w:val="24"/>
          <w:szCs w:val="24"/>
        </w:rPr>
        <w:t xml:space="preserve">nejpozději </w:t>
      </w:r>
      <w:r w:rsidR="00CA25DC" w:rsidRPr="008539F6">
        <w:rPr>
          <w:snapToGrid w:val="0"/>
          <w:sz w:val="24"/>
          <w:szCs w:val="24"/>
        </w:rPr>
        <w:t>9</w:t>
      </w:r>
      <w:r w:rsidRPr="008539F6">
        <w:rPr>
          <w:snapToGrid w:val="0"/>
          <w:sz w:val="24"/>
          <w:szCs w:val="24"/>
        </w:rPr>
        <w:t>/20</w:t>
      </w:r>
      <w:r w:rsidR="00795055" w:rsidRPr="008539F6">
        <w:rPr>
          <w:snapToGrid w:val="0"/>
          <w:sz w:val="24"/>
          <w:szCs w:val="24"/>
        </w:rPr>
        <w:t>21</w:t>
      </w:r>
    </w:p>
    <w:p w14:paraId="277F481E" w14:textId="77777777" w:rsidR="001019A5" w:rsidRPr="008539F6" w:rsidRDefault="001019A5" w:rsidP="008539F6">
      <w:pPr>
        <w:tabs>
          <w:tab w:val="left" w:pos="2520"/>
        </w:tabs>
        <w:spacing w:before="240" w:line="260" w:lineRule="exact"/>
        <w:ind w:firstLine="567"/>
        <w:rPr>
          <w:sz w:val="24"/>
          <w:szCs w:val="24"/>
        </w:rPr>
      </w:pPr>
    </w:p>
    <w:p w14:paraId="58FE5E45" w14:textId="77777777" w:rsidR="001019A5" w:rsidRPr="008539F6" w:rsidRDefault="001019A5" w:rsidP="008539F6">
      <w:pPr>
        <w:tabs>
          <w:tab w:val="left" w:pos="2520"/>
        </w:tabs>
        <w:spacing w:before="240" w:line="260" w:lineRule="exact"/>
        <w:ind w:firstLine="567"/>
        <w:rPr>
          <w:sz w:val="24"/>
          <w:szCs w:val="24"/>
        </w:rPr>
      </w:pPr>
    </w:p>
    <w:p w14:paraId="31735FD3" w14:textId="77777777" w:rsidR="001019A5" w:rsidRPr="008539F6" w:rsidRDefault="001019A5" w:rsidP="008539F6">
      <w:pPr>
        <w:tabs>
          <w:tab w:val="left" w:pos="2520"/>
        </w:tabs>
        <w:spacing w:before="240" w:line="260" w:lineRule="exact"/>
        <w:ind w:firstLine="567"/>
        <w:rPr>
          <w:sz w:val="24"/>
          <w:szCs w:val="24"/>
        </w:rPr>
      </w:pPr>
    </w:p>
    <w:p w14:paraId="322FE491" w14:textId="77777777" w:rsidR="001019A5" w:rsidRPr="008539F6" w:rsidRDefault="001019A5" w:rsidP="008539F6">
      <w:pPr>
        <w:tabs>
          <w:tab w:val="left" w:pos="2520"/>
        </w:tabs>
        <w:spacing w:before="240" w:line="260" w:lineRule="exact"/>
        <w:ind w:firstLine="567"/>
        <w:rPr>
          <w:sz w:val="24"/>
          <w:szCs w:val="24"/>
        </w:rPr>
      </w:pPr>
    </w:p>
    <w:p w14:paraId="72604A04" w14:textId="77777777" w:rsidR="001019A5" w:rsidRPr="008539F6" w:rsidRDefault="001019A5" w:rsidP="008539F6">
      <w:pPr>
        <w:tabs>
          <w:tab w:val="left" w:pos="2520"/>
        </w:tabs>
        <w:spacing w:before="240" w:line="260" w:lineRule="exact"/>
        <w:ind w:firstLine="567"/>
        <w:rPr>
          <w:sz w:val="24"/>
          <w:szCs w:val="24"/>
        </w:rPr>
      </w:pPr>
    </w:p>
    <w:p w14:paraId="73047642" w14:textId="77777777" w:rsidR="001019A5" w:rsidRPr="008539F6" w:rsidRDefault="001019A5" w:rsidP="008539F6">
      <w:pPr>
        <w:tabs>
          <w:tab w:val="left" w:pos="2520"/>
        </w:tabs>
        <w:spacing w:before="240" w:line="260" w:lineRule="exact"/>
        <w:ind w:firstLine="567"/>
        <w:rPr>
          <w:sz w:val="24"/>
          <w:szCs w:val="24"/>
        </w:rPr>
      </w:pPr>
    </w:p>
    <w:p w14:paraId="0D39B718" w14:textId="10F46DED" w:rsidR="001019A5" w:rsidRDefault="001019A5" w:rsidP="008539F6">
      <w:pPr>
        <w:tabs>
          <w:tab w:val="left" w:pos="2520"/>
        </w:tabs>
        <w:spacing w:before="240" w:line="260" w:lineRule="exact"/>
        <w:ind w:firstLine="567"/>
        <w:rPr>
          <w:sz w:val="24"/>
          <w:szCs w:val="24"/>
        </w:rPr>
      </w:pPr>
    </w:p>
    <w:p w14:paraId="0C29CD0E" w14:textId="77777777" w:rsidR="00BF3B13" w:rsidRPr="008539F6" w:rsidRDefault="00BF3B13" w:rsidP="008539F6">
      <w:pPr>
        <w:tabs>
          <w:tab w:val="left" w:pos="2520"/>
        </w:tabs>
        <w:spacing w:before="240" w:line="260" w:lineRule="exact"/>
        <w:ind w:firstLine="567"/>
        <w:rPr>
          <w:sz w:val="24"/>
          <w:szCs w:val="24"/>
        </w:rPr>
      </w:pPr>
    </w:p>
    <w:p w14:paraId="7A31C398" w14:textId="7DA378D9" w:rsidR="001019A5" w:rsidRDefault="001019A5" w:rsidP="008539F6">
      <w:pPr>
        <w:tabs>
          <w:tab w:val="left" w:pos="2520"/>
        </w:tabs>
        <w:spacing w:before="240" w:line="260" w:lineRule="exact"/>
        <w:ind w:firstLine="567"/>
        <w:rPr>
          <w:sz w:val="24"/>
          <w:szCs w:val="24"/>
        </w:rPr>
      </w:pPr>
    </w:p>
    <w:p w14:paraId="03601997" w14:textId="18C279F8" w:rsidR="004D6999" w:rsidRDefault="004D6999" w:rsidP="008539F6">
      <w:pPr>
        <w:tabs>
          <w:tab w:val="left" w:pos="2520"/>
        </w:tabs>
        <w:spacing w:before="240" w:line="260" w:lineRule="exact"/>
        <w:ind w:firstLine="567"/>
        <w:rPr>
          <w:sz w:val="24"/>
          <w:szCs w:val="24"/>
        </w:rPr>
      </w:pPr>
    </w:p>
    <w:p w14:paraId="77CDD6D6" w14:textId="2EB7D557" w:rsidR="004D6999" w:rsidRDefault="004D6999" w:rsidP="008539F6">
      <w:pPr>
        <w:tabs>
          <w:tab w:val="left" w:pos="2520"/>
        </w:tabs>
        <w:spacing w:before="240" w:line="260" w:lineRule="exact"/>
        <w:ind w:firstLine="567"/>
        <w:rPr>
          <w:sz w:val="24"/>
          <w:szCs w:val="24"/>
        </w:rPr>
      </w:pPr>
    </w:p>
    <w:p w14:paraId="461CD8AD" w14:textId="77777777" w:rsidR="004D6999" w:rsidRDefault="004D6999" w:rsidP="008539F6">
      <w:pPr>
        <w:tabs>
          <w:tab w:val="left" w:pos="2520"/>
        </w:tabs>
        <w:spacing w:before="240" w:line="260" w:lineRule="exact"/>
        <w:ind w:firstLine="567"/>
        <w:rPr>
          <w:sz w:val="24"/>
          <w:szCs w:val="24"/>
        </w:rPr>
      </w:pPr>
    </w:p>
    <w:p w14:paraId="72140287" w14:textId="77777777" w:rsidR="001019A5" w:rsidRPr="008539F6" w:rsidRDefault="001019A5" w:rsidP="00A21335">
      <w:pPr>
        <w:tabs>
          <w:tab w:val="left" w:pos="2520"/>
        </w:tabs>
        <w:spacing w:before="240" w:line="260" w:lineRule="exact"/>
        <w:rPr>
          <w:sz w:val="24"/>
          <w:szCs w:val="24"/>
        </w:rPr>
      </w:pPr>
    </w:p>
    <w:p w14:paraId="04B1E597" w14:textId="77777777" w:rsidR="007833A3" w:rsidRPr="008539F6" w:rsidRDefault="007833A3" w:rsidP="008539F6">
      <w:pPr>
        <w:tabs>
          <w:tab w:val="left" w:pos="2520"/>
        </w:tabs>
        <w:spacing w:before="240" w:line="260" w:lineRule="exact"/>
        <w:ind w:firstLine="567"/>
        <w:rPr>
          <w:sz w:val="24"/>
          <w:szCs w:val="24"/>
        </w:rPr>
      </w:pPr>
      <w:r w:rsidRPr="008539F6">
        <w:rPr>
          <w:sz w:val="24"/>
          <w:szCs w:val="24"/>
        </w:rPr>
        <w:t>Vypracoval: Ing. Václav Remuta</w:t>
      </w:r>
    </w:p>
    <w:p w14:paraId="37C17EBD" w14:textId="006F6684" w:rsidR="00821BB9" w:rsidRPr="00821BB9" w:rsidRDefault="007833A3" w:rsidP="008539F6">
      <w:pPr>
        <w:tabs>
          <w:tab w:val="left" w:pos="2520"/>
        </w:tabs>
        <w:spacing w:before="120" w:line="260" w:lineRule="exact"/>
        <w:ind w:firstLine="567"/>
        <w:rPr>
          <w:sz w:val="24"/>
          <w:szCs w:val="24"/>
        </w:rPr>
      </w:pPr>
      <w:r w:rsidRPr="008539F6">
        <w:rPr>
          <w:sz w:val="24"/>
          <w:szCs w:val="24"/>
        </w:rPr>
        <w:t xml:space="preserve">Most, </w:t>
      </w:r>
      <w:r w:rsidR="000871DB">
        <w:rPr>
          <w:sz w:val="24"/>
          <w:szCs w:val="24"/>
        </w:rPr>
        <w:t>duben</w:t>
      </w:r>
      <w:r w:rsidR="00171E0C">
        <w:rPr>
          <w:sz w:val="24"/>
          <w:szCs w:val="24"/>
        </w:rPr>
        <w:t xml:space="preserve"> </w:t>
      </w:r>
      <w:r w:rsidRPr="00821BB9">
        <w:rPr>
          <w:sz w:val="24"/>
          <w:szCs w:val="24"/>
        </w:rPr>
        <w:t>20</w:t>
      </w:r>
      <w:r w:rsidR="009D2AB5">
        <w:rPr>
          <w:sz w:val="24"/>
          <w:szCs w:val="24"/>
        </w:rPr>
        <w:t>2</w:t>
      </w:r>
      <w:r w:rsidR="000871DB">
        <w:rPr>
          <w:sz w:val="24"/>
          <w:szCs w:val="24"/>
        </w:rPr>
        <w:t>1</w:t>
      </w:r>
    </w:p>
    <w:sectPr w:rsidR="00821BB9" w:rsidRPr="00821BB9" w:rsidSect="009D2AB5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418" w:right="1418" w:bottom="510" w:left="1418" w:header="709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658F1" w14:textId="77777777" w:rsidR="00425999" w:rsidRDefault="00425999">
      <w:r>
        <w:separator/>
      </w:r>
    </w:p>
  </w:endnote>
  <w:endnote w:type="continuationSeparator" w:id="0">
    <w:p w14:paraId="0123F0C8" w14:textId="77777777" w:rsidR="00425999" w:rsidRDefault="00425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28F6" w14:textId="77777777" w:rsidR="003A115A" w:rsidRDefault="003A11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CE54B6" w14:textId="77777777" w:rsidR="003A115A" w:rsidRDefault="003A11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FC4D9" w14:textId="77777777" w:rsidR="003A115A" w:rsidRDefault="003A115A">
    <w:pPr>
      <w:pStyle w:val="Zpat"/>
      <w:framePr w:wrap="around" w:vAnchor="text" w:hAnchor="margin" w:xAlign="center" w:y="1"/>
      <w:rPr>
        <w:rStyle w:val="slostrnky"/>
      </w:rPr>
    </w:pPr>
  </w:p>
  <w:p w14:paraId="2F5F9D9D" w14:textId="77777777" w:rsidR="003A115A" w:rsidRDefault="003A115A" w:rsidP="00520DE8">
    <w:pPr>
      <w:pStyle w:val="Zpat"/>
    </w:pPr>
    <w:r>
      <w:t xml:space="preserve">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109C3" w14:textId="77777777" w:rsidR="00425999" w:rsidRDefault="00425999">
      <w:r>
        <w:separator/>
      </w:r>
    </w:p>
  </w:footnote>
  <w:footnote w:type="continuationSeparator" w:id="0">
    <w:p w14:paraId="5CD4CED0" w14:textId="77777777" w:rsidR="00425999" w:rsidRDefault="00425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6073D" w14:textId="77777777" w:rsidR="003A115A" w:rsidRDefault="003A115A" w:rsidP="001F315B">
    <w:pPr>
      <w:pStyle w:val="Zhlav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12</w:t>
    </w:r>
    <w:r>
      <w:rPr>
        <w:rStyle w:val="slostrnky"/>
      </w:rPr>
      <w:fldChar w:fldCharType="end"/>
    </w:r>
  </w:p>
  <w:p w14:paraId="55224A40" w14:textId="77777777" w:rsidR="00BF0AA7" w:rsidRPr="000555A9" w:rsidRDefault="00BF0AA7" w:rsidP="00BF0AA7">
    <w:pPr>
      <w:pStyle w:val="Zhlav"/>
      <w:jc w:val="right"/>
      <w:rPr>
        <w:rStyle w:val="slostrnky"/>
        <w:i/>
      </w:rPr>
    </w:pPr>
    <w:r>
      <w:rPr>
        <w:rStyle w:val="slostrnky"/>
      </w:rPr>
      <w:t>Rekonstrukce plynové kotelny 4. MŠ Blatenská Chomutov</w:t>
    </w:r>
    <w:r w:rsidRPr="000555A9">
      <w:rPr>
        <w:rStyle w:val="slostrnky"/>
      </w:rPr>
      <w:t xml:space="preserve"> </w:t>
    </w:r>
  </w:p>
  <w:p w14:paraId="48144DB6" w14:textId="27B911F1" w:rsidR="003A115A" w:rsidRDefault="00C6172D" w:rsidP="00C6172D">
    <w:pPr>
      <w:pStyle w:val="Zhlav"/>
      <w:jc w:val="right"/>
    </w:pPr>
    <w:r>
      <w:rPr>
        <w:rStyle w:val="slostrnky"/>
      </w:rPr>
      <w:t>52</w:t>
    </w:r>
    <w:r w:rsidR="00BF0AA7">
      <w:rPr>
        <w:rStyle w:val="slostrnky"/>
      </w:rPr>
      <w:t>6</w:t>
    </w:r>
    <w:r w:rsidRPr="007833A3">
      <w:rPr>
        <w:rStyle w:val="slostrnky"/>
      </w:rPr>
      <w:t>.</w:t>
    </w:r>
    <w:r w:rsidR="003A115A">
      <w:rPr>
        <w:rStyle w:val="slostrnky"/>
      </w:rPr>
      <w:t>B-Souhrnná technická zpráva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415F5" w14:textId="77777777" w:rsidR="003A115A" w:rsidRDefault="003A115A" w:rsidP="008F1E7B">
    <w:pPr>
      <w:pStyle w:val="Zhlav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0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12</w:t>
    </w:r>
    <w:r>
      <w:rPr>
        <w:rStyle w:val="slostrnky"/>
      </w:rPr>
      <w:fldChar w:fldCharType="end"/>
    </w:r>
  </w:p>
  <w:p w14:paraId="42EB3691" w14:textId="77777777" w:rsidR="003A115A" w:rsidRDefault="003A115A" w:rsidP="008F1E7B">
    <w:pPr>
      <w:pStyle w:val="Zhlav"/>
      <w:jc w:val="right"/>
      <w:rPr>
        <w:rStyle w:val="slostrnky"/>
      </w:rPr>
    </w:pPr>
    <w:r>
      <w:rPr>
        <w:rStyle w:val="slostrnky"/>
      </w:rPr>
      <w:t>REKO systému Pražské předměstí 2</w:t>
    </w:r>
  </w:p>
  <w:p w14:paraId="54992BFF" w14:textId="77777777" w:rsidR="003A115A" w:rsidRDefault="003A115A" w:rsidP="008F1E7B">
    <w:pPr>
      <w:pStyle w:val="Zhlav"/>
      <w:jc w:val="right"/>
    </w:pPr>
    <w:r>
      <w:rPr>
        <w:rStyle w:val="slostrnky"/>
      </w:rPr>
      <w:t>stavba č.210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CB434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6A27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5C19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FE493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744C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7040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F00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C67E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806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D21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C194A"/>
    <w:multiLevelType w:val="hybridMultilevel"/>
    <w:tmpl w:val="5BE622A0"/>
    <w:lvl w:ilvl="0" w:tplc="D332E2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4985A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FEA82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6A6A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0E12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18A1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3445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EE34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F25B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D87977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0DAC37EA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0DF517C7"/>
    <w:multiLevelType w:val="hybridMultilevel"/>
    <w:tmpl w:val="ADECE0EE"/>
    <w:lvl w:ilvl="0" w:tplc="0405000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4" w15:restartNumberingAfterBreak="0">
    <w:nsid w:val="0EFD3059"/>
    <w:multiLevelType w:val="hybridMultilevel"/>
    <w:tmpl w:val="062044CA"/>
    <w:lvl w:ilvl="0" w:tplc="DD8A9E30">
      <w:start w:val="2"/>
      <w:numFmt w:val="lowerLetter"/>
      <w:lvlText w:val="%1)"/>
      <w:lvlJc w:val="left"/>
      <w:pPr>
        <w:ind w:left="1070" w:hanging="360"/>
      </w:pPr>
    </w:lvl>
    <w:lvl w:ilvl="1" w:tplc="04050019">
      <w:start w:val="1"/>
      <w:numFmt w:val="lowerLetter"/>
      <w:lvlText w:val="%2."/>
      <w:lvlJc w:val="left"/>
      <w:pPr>
        <w:ind w:left="1550" w:hanging="360"/>
      </w:pPr>
    </w:lvl>
    <w:lvl w:ilvl="2" w:tplc="0405001B">
      <w:start w:val="1"/>
      <w:numFmt w:val="lowerRoman"/>
      <w:lvlText w:val="%3."/>
      <w:lvlJc w:val="right"/>
      <w:pPr>
        <w:ind w:left="2270" w:hanging="180"/>
      </w:pPr>
    </w:lvl>
    <w:lvl w:ilvl="3" w:tplc="0405000F">
      <w:start w:val="1"/>
      <w:numFmt w:val="decimal"/>
      <w:lvlText w:val="%4."/>
      <w:lvlJc w:val="left"/>
      <w:pPr>
        <w:ind w:left="2990" w:hanging="360"/>
      </w:pPr>
    </w:lvl>
    <w:lvl w:ilvl="4" w:tplc="04050019">
      <w:start w:val="1"/>
      <w:numFmt w:val="lowerLetter"/>
      <w:lvlText w:val="%5."/>
      <w:lvlJc w:val="left"/>
      <w:pPr>
        <w:ind w:left="3710" w:hanging="360"/>
      </w:pPr>
    </w:lvl>
    <w:lvl w:ilvl="5" w:tplc="0405001B">
      <w:start w:val="1"/>
      <w:numFmt w:val="lowerRoman"/>
      <w:lvlText w:val="%6."/>
      <w:lvlJc w:val="right"/>
      <w:pPr>
        <w:ind w:left="4430" w:hanging="180"/>
      </w:pPr>
    </w:lvl>
    <w:lvl w:ilvl="6" w:tplc="0405000F">
      <w:start w:val="1"/>
      <w:numFmt w:val="decimal"/>
      <w:lvlText w:val="%7."/>
      <w:lvlJc w:val="left"/>
      <w:pPr>
        <w:ind w:left="5150" w:hanging="360"/>
      </w:pPr>
    </w:lvl>
    <w:lvl w:ilvl="7" w:tplc="04050019">
      <w:start w:val="1"/>
      <w:numFmt w:val="lowerLetter"/>
      <w:lvlText w:val="%8."/>
      <w:lvlJc w:val="left"/>
      <w:pPr>
        <w:ind w:left="5870" w:hanging="360"/>
      </w:pPr>
    </w:lvl>
    <w:lvl w:ilvl="8" w:tplc="0405001B">
      <w:start w:val="1"/>
      <w:numFmt w:val="lowerRoman"/>
      <w:lvlText w:val="%9."/>
      <w:lvlJc w:val="right"/>
      <w:pPr>
        <w:ind w:left="6590" w:hanging="180"/>
      </w:pPr>
    </w:lvl>
  </w:abstractNum>
  <w:abstractNum w:abstractNumId="15" w15:restartNumberingAfterBreak="0">
    <w:nsid w:val="11D54227"/>
    <w:multiLevelType w:val="singleLevel"/>
    <w:tmpl w:val="221843A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6" w15:restartNumberingAfterBreak="0">
    <w:nsid w:val="13222B4B"/>
    <w:multiLevelType w:val="hybridMultilevel"/>
    <w:tmpl w:val="D3863224"/>
    <w:lvl w:ilvl="0" w:tplc="BF5A6D56">
      <w:start w:val="3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7" w15:restartNumberingAfterBreak="0">
    <w:nsid w:val="14BF08DA"/>
    <w:multiLevelType w:val="singleLevel"/>
    <w:tmpl w:val="665EB17C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8" w15:restartNumberingAfterBreak="0">
    <w:nsid w:val="1DEC19B8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1E124337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27EE7FA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2D583D0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58E3A6F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3B5564CB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3FD4793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40385F41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45407758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483C6C8F"/>
    <w:multiLevelType w:val="multilevel"/>
    <w:tmpl w:val="D7B005A0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49643632"/>
    <w:multiLevelType w:val="singleLevel"/>
    <w:tmpl w:val="E8EC2B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4E387D1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51B37A76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56D02744"/>
    <w:multiLevelType w:val="hybridMultilevel"/>
    <w:tmpl w:val="80A0EF06"/>
    <w:lvl w:ilvl="0" w:tplc="63182808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2BA23D16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E484584C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E08605EA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4F7E2B52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3AB23160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7D883EBE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7EEA7A5E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C4EE707A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E7D2D4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2C1462D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631F69C7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646411D8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69623129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 w15:restartNumberingAfterBreak="0">
    <w:nsid w:val="6A132ECD"/>
    <w:multiLevelType w:val="multilevel"/>
    <w:tmpl w:val="4BD48AB6"/>
    <w:lvl w:ilvl="0">
      <w:start w:val="1"/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754F2F5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 w15:restartNumberingAfterBreak="0">
    <w:nsid w:val="799D586C"/>
    <w:multiLevelType w:val="hybridMultilevel"/>
    <w:tmpl w:val="F48EAF5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32"/>
  </w:num>
  <w:num w:numId="4">
    <w:abstractNumId w:val="11"/>
  </w:num>
  <w:num w:numId="5">
    <w:abstractNumId w:val="20"/>
  </w:num>
  <w:num w:numId="6">
    <w:abstractNumId w:val="18"/>
  </w:num>
  <w:num w:numId="7">
    <w:abstractNumId w:val="36"/>
  </w:num>
  <w:num w:numId="8">
    <w:abstractNumId w:val="22"/>
  </w:num>
  <w:num w:numId="9">
    <w:abstractNumId w:val="34"/>
  </w:num>
  <w:num w:numId="10">
    <w:abstractNumId w:val="29"/>
  </w:num>
  <w:num w:numId="11">
    <w:abstractNumId w:val="38"/>
  </w:num>
  <w:num w:numId="12">
    <w:abstractNumId w:val="37"/>
  </w:num>
  <w:num w:numId="13">
    <w:abstractNumId w:val="15"/>
  </w:num>
  <w:num w:numId="14">
    <w:abstractNumId w:val="27"/>
  </w:num>
  <w:num w:numId="15">
    <w:abstractNumId w:val="12"/>
  </w:num>
  <w:num w:numId="16">
    <w:abstractNumId w:val="24"/>
  </w:num>
  <w:num w:numId="17">
    <w:abstractNumId w:val="28"/>
  </w:num>
  <w:num w:numId="18">
    <w:abstractNumId w:val="30"/>
  </w:num>
  <w:num w:numId="19">
    <w:abstractNumId w:val="26"/>
  </w:num>
  <w:num w:numId="20">
    <w:abstractNumId w:val="23"/>
  </w:num>
  <w:num w:numId="21">
    <w:abstractNumId w:val="17"/>
  </w:num>
  <w:num w:numId="22">
    <w:abstractNumId w:val="21"/>
  </w:num>
  <w:num w:numId="23">
    <w:abstractNumId w:val="33"/>
  </w:num>
  <w:num w:numId="24">
    <w:abstractNumId w:val="35"/>
  </w:num>
  <w:num w:numId="25">
    <w:abstractNumId w:val="25"/>
  </w:num>
  <w:num w:numId="26">
    <w:abstractNumId w:val="19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16"/>
  </w:num>
  <w:num w:numId="3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14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F06"/>
    <w:rsid w:val="00022364"/>
    <w:rsid w:val="000228AC"/>
    <w:rsid w:val="00026C3E"/>
    <w:rsid w:val="000306D0"/>
    <w:rsid w:val="00033F74"/>
    <w:rsid w:val="00056E53"/>
    <w:rsid w:val="00064B2E"/>
    <w:rsid w:val="0006671B"/>
    <w:rsid w:val="000871DB"/>
    <w:rsid w:val="000A3A64"/>
    <w:rsid w:val="000D1454"/>
    <w:rsid w:val="000F4B10"/>
    <w:rsid w:val="001019A5"/>
    <w:rsid w:val="00107632"/>
    <w:rsid w:val="00122853"/>
    <w:rsid w:val="00130A19"/>
    <w:rsid w:val="001459A8"/>
    <w:rsid w:val="0014692F"/>
    <w:rsid w:val="00154939"/>
    <w:rsid w:val="001669DA"/>
    <w:rsid w:val="00170EE5"/>
    <w:rsid w:val="00171E0C"/>
    <w:rsid w:val="00176F81"/>
    <w:rsid w:val="001A56FA"/>
    <w:rsid w:val="001B2790"/>
    <w:rsid w:val="001B43E9"/>
    <w:rsid w:val="001D658D"/>
    <w:rsid w:val="001F315B"/>
    <w:rsid w:val="001F4BD8"/>
    <w:rsid w:val="00213D93"/>
    <w:rsid w:val="00225247"/>
    <w:rsid w:val="00232BFF"/>
    <w:rsid w:val="002345C1"/>
    <w:rsid w:val="002464A9"/>
    <w:rsid w:val="00252108"/>
    <w:rsid w:val="0026306B"/>
    <w:rsid w:val="002655B1"/>
    <w:rsid w:val="00272813"/>
    <w:rsid w:val="00293579"/>
    <w:rsid w:val="002A1ACA"/>
    <w:rsid w:val="002C6F46"/>
    <w:rsid w:val="002D27AA"/>
    <w:rsid w:val="0031068C"/>
    <w:rsid w:val="003723AF"/>
    <w:rsid w:val="00372F7E"/>
    <w:rsid w:val="003A115A"/>
    <w:rsid w:val="003B17AC"/>
    <w:rsid w:val="003B3576"/>
    <w:rsid w:val="003C3A74"/>
    <w:rsid w:val="003E6CCC"/>
    <w:rsid w:val="003F1442"/>
    <w:rsid w:val="003F5F51"/>
    <w:rsid w:val="00407803"/>
    <w:rsid w:val="00425999"/>
    <w:rsid w:val="00427C17"/>
    <w:rsid w:val="00431319"/>
    <w:rsid w:val="00434472"/>
    <w:rsid w:val="004440CD"/>
    <w:rsid w:val="00446329"/>
    <w:rsid w:val="00451395"/>
    <w:rsid w:val="004A10E9"/>
    <w:rsid w:val="004A7A14"/>
    <w:rsid w:val="004B7325"/>
    <w:rsid w:val="004C23B7"/>
    <w:rsid w:val="004D6999"/>
    <w:rsid w:val="004F3730"/>
    <w:rsid w:val="004F6B76"/>
    <w:rsid w:val="005003C6"/>
    <w:rsid w:val="0050417F"/>
    <w:rsid w:val="005139B4"/>
    <w:rsid w:val="005151D9"/>
    <w:rsid w:val="00520DE8"/>
    <w:rsid w:val="00521839"/>
    <w:rsid w:val="00527349"/>
    <w:rsid w:val="00552DB6"/>
    <w:rsid w:val="0055346B"/>
    <w:rsid w:val="00570726"/>
    <w:rsid w:val="0058088E"/>
    <w:rsid w:val="00584C32"/>
    <w:rsid w:val="005866D5"/>
    <w:rsid w:val="005A4CD7"/>
    <w:rsid w:val="005B69E4"/>
    <w:rsid w:val="005D3E19"/>
    <w:rsid w:val="005F26F6"/>
    <w:rsid w:val="005F325F"/>
    <w:rsid w:val="00610D9F"/>
    <w:rsid w:val="00613729"/>
    <w:rsid w:val="00614AEE"/>
    <w:rsid w:val="0062025B"/>
    <w:rsid w:val="006524F9"/>
    <w:rsid w:val="00652951"/>
    <w:rsid w:val="00655647"/>
    <w:rsid w:val="00674C33"/>
    <w:rsid w:val="006C1BBA"/>
    <w:rsid w:val="006C6C63"/>
    <w:rsid w:val="006E313B"/>
    <w:rsid w:val="006E52DB"/>
    <w:rsid w:val="006F7BB7"/>
    <w:rsid w:val="00705942"/>
    <w:rsid w:val="007307EE"/>
    <w:rsid w:val="007417CF"/>
    <w:rsid w:val="0075078E"/>
    <w:rsid w:val="0075181E"/>
    <w:rsid w:val="00755702"/>
    <w:rsid w:val="00756EC1"/>
    <w:rsid w:val="007717FF"/>
    <w:rsid w:val="007833A3"/>
    <w:rsid w:val="00795055"/>
    <w:rsid w:val="007D0E73"/>
    <w:rsid w:val="007F4DCB"/>
    <w:rsid w:val="00806901"/>
    <w:rsid w:val="00817DD7"/>
    <w:rsid w:val="00820355"/>
    <w:rsid w:val="00821BB9"/>
    <w:rsid w:val="0082683B"/>
    <w:rsid w:val="0083608E"/>
    <w:rsid w:val="008539F6"/>
    <w:rsid w:val="0086026C"/>
    <w:rsid w:val="008641C1"/>
    <w:rsid w:val="00876689"/>
    <w:rsid w:val="00887BC3"/>
    <w:rsid w:val="008A13B1"/>
    <w:rsid w:val="008A564D"/>
    <w:rsid w:val="008E30DB"/>
    <w:rsid w:val="008E4828"/>
    <w:rsid w:val="008F1E7B"/>
    <w:rsid w:val="00902885"/>
    <w:rsid w:val="00915D12"/>
    <w:rsid w:val="00930E70"/>
    <w:rsid w:val="009460EB"/>
    <w:rsid w:val="00952007"/>
    <w:rsid w:val="0096662F"/>
    <w:rsid w:val="00973A28"/>
    <w:rsid w:val="009A638F"/>
    <w:rsid w:val="009B1325"/>
    <w:rsid w:val="009B3434"/>
    <w:rsid w:val="009C0F35"/>
    <w:rsid w:val="009C4936"/>
    <w:rsid w:val="009D2AB5"/>
    <w:rsid w:val="009F2E97"/>
    <w:rsid w:val="00A03CF4"/>
    <w:rsid w:val="00A0401E"/>
    <w:rsid w:val="00A1593A"/>
    <w:rsid w:val="00A21335"/>
    <w:rsid w:val="00A35ED0"/>
    <w:rsid w:val="00A55582"/>
    <w:rsid w:val="00A57FDF"/>
    <w:rsid w:val="00A715A0"/>
    <w:rsid w:val="00A73D07"/>
    <w:rsid w:val="00A94F06"/>
    <w:rsid w:val="00AA2795"/>
    <w:rsid w:val="00AB282D"/>
    <w:rsid w:val="00AB5AE0"/>
    <w:rsid w:val="00AB6A2F"/>
    <w:rsid w:val="00AB6CA2"/>
    <w:rsid w:val="00AC5AE0"/>
    <w:rsid w:val="00AF12FA"/>
    <w:rsid w:val="00B00AF1"/>
    <w:rsid w:val="00B33E8A"/>
    <w:rsid w:val="00B520F6"/>
    <w:rsid w:val="00B545C6"/>
    <w:rsid w:val="00B5461E"/>
    <w:rsid w:val="00B56ACE"/>
    <w:rsid w:val="00B65A06"/>
    <w:rsid w:val="00B738AA"/>
    <w:rsid w:val="00B73B6B"/>
    <w:rsid w:val="00B769DC"/>
    <w:rsid w:val="00B9136E"/>
    <w:rsid w:val="00BD3634"/>
    <w:rsid w:val="00BD438C"/>
    <w:rsid w:val="00BD65B7"/>
    <w:rsid w:val="00BF0AA7"/>
    <w:rsid w:val="00BF3B13"/>
    <w:rsid w:val="00C01AF5"/>
    <w:rsid w:val="00C3030D"/>
    <w:rsid w:val="00C36A64"/>
    <w:rsid w:val="00C40D35"/>
    <w:rsid w:val="00C41355"/>
    <w:rsid w:val="00C472D0"/>
    <w:rsid w:val="00C5162F"/>
    <w:rsid w:val="00C6172D"/>
    <w:rsid w:val="00C62674"/>
    <w:rsid w:val="00C67A9D"/>
    <w:rsid w:val="00C80620"/>
    <w:rsid w:val="00C94C49"/>
    <w:rsid w:val="00CA25DC"/>
    <w:rsid w:val="00CA3030"/>
    <w:rsid w:val="00CD062F"/>
    <w:rsid w:val="00CD4CA2"/>
    <w:rsid w:val="00CE708D"/>
    <w:rsid w:val="00CF0095"/>
    <w:rsid w:val="00D32A83"/>
    <w:rsid w:val="00D429EC"/>
    <w:rsid w:val="00D50D8E"/>
    <w:rsid w:val="00D61F51"/>
    <w:rsid w:val="00D64A90"/>
    <w:rsid w:val="00D64AAC"/>
    <w:rsid w:val="00D87199"/>
    <w:rsid w:val="00DA0250"/>
    <w:rsid w:val="00DB06CE"/>
    <w:rsid w:val="00DB6AA8"/>
    <w:rsid w:val="00DC5D8B"/>
    <w:rsid w:val="00DD237B"/>
    <w:rsid w:val="00DE3D7C"/>
    <w:rsid w:val="00E04271"/>
    <w:rsid w:val="00E26CB7"/>
    <w:rsid w:val="00E314DE"/>
    <w:rsid w:val="00E37417"/>
    <w:rsid w:val="00E501BA"/>
    <w:rsid w:val="00E52FCE"/>
    <w:rsid w:val="00E650AF"/>
    <w:rsid w:val="00E72635"/>
    <w:rsid w:val="00E72BE2"/>
    <w:rsid w:val="00E84CCD"/>
    <w:rsid w:val="00EA53B4"/>
    <w:rsid w:val="00ED5CC4"/>
    <w:rsid w:val="00EF2F5B"/>
    <w:rsid w:val="00EF53F6"/>
    <w:rsid w:val="00EF6DAC"/>
    <w:rsid w:val="00F20550"/>
    <w:rsid w:val="00F21DF0"/>
    <w:rsid w:val="00F344A2"/>
    <w:rsid w:val="00F456AC"/>
    <w:rsid w:val="00F50831"/>
    <w:rsid w:val="00F561DA"/>
    <w:rsid w:val="00F632EE"/>
    <w:rsid w:val="00F63C28"/>
    <w:rsid w:val="00F657EC"/>
    <w:rsid w:val="00F71668"/>
    <w:rsid w:val="00F93D5E"/>
    <w:rsid w:val="00F97D35"/>
    <w:rsid w:val="00FC0CF3"/>
    <w:rsid w:val="00FC19D4"/>
    <w:rsid w:val="00FE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  <w14:docId w14:val="0690775D"/>
  <w15:chartTrackingRefBased/>
  <w15:docId w15:val="{DD6A497F-DB47-4DA4-949B-B5FEB327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D87199"/>
    <w:pPr>
      <w:keepNext/>
      <w:widowControl w:val="0"/>
      <w:tabs>
        <w:tab w:val="left" w:pos="1920"/>
      </w:tabs>
      <w:spacing w:before="240" w:after="120" w:line="280" w:lineRule="exact"/>
      <w:ind w:firstLine="567"/>
      <w:outlineLvl w:val="1"/>
    </w:pPr>
    <w:rPr>
      <w:b/>
      <w:snapToGrid w:val="0"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tabs>
        <w:tab w:val="left" w:pos="567"/>
        <w:tab w:val="left" w:pos="3969"/>
      </w:tabs>
      <w:spacing w:line="360" w:lineRule="auto"/>
      <w:ind w:firstLine="567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aps/>
      <w:sz w:val="36"/>
    </w:rPr>
  </w:style>
  <w:style w:type="paragraph" w:styleId="Nadpis7">
    <w:name w:val="heading 7"/>
    <w:basedOn w:val="Normln"/>
    <w:next w:val="Normln"/>
    <w:qFormat/>
    <w:pPr>
      <w:keepNext/>
      <w:tabs>
        <w:tab w:val="left" w:pos="567"/>
      </w:tabs>
      <w:spacing w:line="360" w:lineRule="auto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2268"/>
      </w:tabs>
      <w:spacing w:line="360" w:lineRule="auto"/>
      <w:ind w:left="567"/>
      <w:jc w:val="both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24"/>
    </w:rPr>
  </w:style>
  <w:style w:type="paragraph" w:styleId="Zkladntextodsazen">
    <w:name w:val="Body Text Indent"/>
    <w:basedOn w:val="Normln"/>
    <w:pPr>
      <w:ind w:left="993" w:hanging="993"/>
    </w:pPr>
    <w:rPr>
      <w:sz w:val="28"/>
    </w:rPr>
  </w:style>
  <w:style w:type="paragraph" w:styleId="Zkladntextodsazen2">
    <w:name w:val="Body Text Indent 2"/>
    <w:basedOn w:val="Normln"/>
    <w:pPr>
      <w:tabs>
        <w:tab w:val="left" w:pos="567"/>
        <w:tab w:val="left" w:pos="2268"/>
        <w:tab w:val="left" w:pos="3969"/>
      </w:tabs>
      <w:spacing w:line="360" w:lineRule="auto"/>
      <w:ind w:left="567"/>
    </w:pPr>
    <w:rPr>
      <w:sz w:val="24"/>
    </w:rPr>
  </w:style>
  <w:style w:type="paragraph" w:styleId="Zkladntextodsazen3">
    <w:name w:val="Body Text Indent 3"/>
    <w:basedOn w:val="Normln"/>
    <w:link w:val="Zkladntextodsazen3Char"/>
    <w:pPr>
      <w:tabs>
        <w:tab w:val="left" w:pos="567"/>
        <w:tab w:val="left" w:pos="2268"/>
        <w:tab w:val="left" w:pos="3969"/>
      </w:tabs>
      <w:spacing w:line="360" w:lineRule="auto"/>
      <w:ind w:left="567"/>
      <w:jc w:val="both"/>
    </w:pPr>
    <w:rPr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2">
    <w:name w:val="Body Text 2"/>
    <w:basedOn w:val="Normln"/>
    <w:pPr>
      <w:spacing w:before="120"/>
      <w:jc w:val="both"/>
    </w:pPr>
    <w:rPr>
      <w:snapToGrid w:val="0"/>
      <w:sz w:val="24"/>
    </w:rPr>
  </w:style>
  <w:style w:type="paragraph" w:customStyle="1" w:styleId="BodyText21">
    <w:name w:val="Body Text 21"/>
    <w:basedOn w:val="Normln"/>
    <w:pPr>
      <w:widowControl w:val="0"/>
    </w:pPr>
    <w:rPr>
      <w:rFonts w:ascii="Arial" w:hAnsi="Arial"/>
      <w:b/>
      <w:sz w:val="24"/>
    </w:rPr>
  </w:style>
  <w:style w:type="paragraph" w:styleId="Zhlav">
    <w:name w:val="header"/>
    <w:basedOn w:val="Normln"/>
    <w:link w:val="ZhlavChar"/>
    <w:rsid w:val="008F1E7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F21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rsid w:val="007833A3"/>
    <w:pPr>
      <w:spacing w:before="120" w:after="120"/>
    </w:pPr>
    <w:rPr>
      <w:rFonts w:ascii="Calibri" w:hAnsi="Calibri" w:cs="Calibri"/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7833A3"/>
    <w:pPr>
      <w:ind w:left="240"/>
    </w:pPr>
    <w:rPr>
      <w:rFonts w:ascii="Calibri" w:hAnsi="Calibri" w:cs="Calibri"/>
      <w:smallCaps/>
    </w:rPr>
  </w:style>
  <w:style w:type="paragraph" w:styleId="Obsah3">
    <w:name w:val="toc 3"/>
    <w:basedOn w:val="Normln"/>
    <w:next w:val="Normln"/>
    <w:autoRedefine/>
    <w:uiPriority w:val="39"/>
    <w:rsid w:val="007833A3"/>
    <w:pPr>
      <w:ind w:left="480"/>
    </w:pPr>
    <w:rPr>
      <w:rFonts w:ascii="Calibri" w:hAnsi="Calibri" w:cs="Calibri"/>
      <w:i/>
      <w:iCs/>
    </w:rPr>
  </w:style>
  <w:style w:type="character" w:customStyle="1" w:styleId="Nadpis1Char">
    <w:name w:val="Nadpis 1 Char"/>
    <w:link w:val="Nadpis1"/>
    <w:rsid w:val="007833A3"/>
    <w:rPr>
      <w:b/>
      <w:sz w:val="24"/>
    </w:rPr>
  </w:style>
  <w:style w:type="character" w:customStyle="1" w:styleId="Zkladntextodsazen3Char">
    <w:name w:val="Základní text odsazený 3 Char"/>
    <w:link w:val="Zkladntextodsazen3"/>
    <w:rsid w:val="007833A3"/>
    <w:rPr>
      <w:sz w:val="24"/>
    </w:rPr>
  </w:style>
  <w:style w:type="paragraph" w:customStyle="1" w:styleId="Import6">
    <w:name w:val="Import 6"/>
    <w:basedOn w:val="Normln"/>
    <w:rsid w:val="00AB5AE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30" w:lineRule="auto"/>
    </w:pPr>
    <w:rPr>
      <w:rFonts w:ascii="Courier New" w:hAnsi="Courier New"/>
      <w:snapToGrid w:val="0"/>
      <w:sz w:val="24"/>
    </w:rPr>
  </w:style>
  <w:style w:type="paragraph" w:styleId="Odstavecseseznamem">
    <w:name w:val="List Paragraph"/>
    <w:basedOn w:val="Normln"/>
    <w:uiPriority w:val="34"/>
    <w:qFormat/>
    <w:rsid w:val="00AB5AE0"/>
    <w:pPr>
      <w:ind w:left="708"/>
    </w:pPr>
  </w:style>
  <w:style w:type="character" w:customStyle="1" w:styleId="apple-converted-space">
    <w:name w:val="apple-converted-space"/>
    <w:rsid w:val="00AB5AE0"/>
  </w:style>
  <w:style w:type="paragraph" w:customStyle="1" w:styleId="Default">
    <w:name w:val="Default"/>
    <w:rsid w:val="00EF53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493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4939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basedOn w:val="Standardnpsmoodstavce"/>
    <w:link w:val="Zhlav"/>
    <w:rsid w:val="00BF0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FD365-B45C-4A3C-85DE-6F3A3FEF0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13</Pages>
  <Words>5223</Words>
  <Characters>30818</Characters>
  <Application>Microsoft Office Word</Application>
  <DocSecurity>0</DocSecurity>
  <Lines>256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>TERMONT</Company>
  <LinksUpToDate>false</LinksUpToDate>
  <CharactersWithSpaces>35970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Alena</dc:creator>
  <cp:keywords/>
  <cp:lastModifiedBy>Václav Remuta</cp:lastModifiedBy>
  <cp:revision>7</cp:revision>
  <cp:lastPrinted>2021-05-10T15:34:00Z</cp:lastPrinted>
  <dcterms:created xsi:type="dcterms:W3CDTF">2021-05-17T12:15:00Z</dcterms:created>
  <dcterms:modified xsi:type="dcterms:W3CDTF">2021-05-17T15:20:00Z</dcterms:modified>
</cp:coreProperties>
</file>